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69"/>
        <w:gridCol w:w="5415"/>
      </w:tblGrid>
      <w:tr w:rsidR="00C85102" w:rsidRPr="00C85102" w14:paraId="6A1D66DF" w14:textId="77777777" w:rsidTr="009D496F">
        <w:trPr>
          <w:trHeight w:val="720"/>
          <w:jc w:val="center"/>
        </w:trPr>
        <w:tc>
          <w:tcPr>
            <w:tcW w:w="10784" w:type="dxa"/>
            <w:gridSpan w:val="2"/>
            <w:shd w:val="clear" w:color="auto" w:fill="10253F"/>
            <w:vAlign w:val="center"/>
          </w:tcPr>
          <w:p w14:paraId="602B4433" w14:textId="76E45222" w:rsidR="00C85102" w:rsidRPr="009448B4" w:rsidRDefault="00510912" w:rsidP="00510912">
            <w:pPr>
              <w:widowControl w:val="0"/>
              <w:spacing w:before="80" w:after="80" w:line="240" w:lineRule="auto"/>
              <w:jc w:val="center"/>
              <w:rPr>
                <w:rFonts w:ascii="Aparajita" w:eastAsia="Cambria" w:hAnsi="Aparajita" w:cs="Aparajita"/>
                <w:b/>
                <w:snapToGrid w:val="0"/>
                <w:color w:val="FFFFFF"/>
                <w:sz w:val="28"/>
                <w:szCs w:val="28"/>
              </w:rPr>
            </w:pPr>
            <w:r w:rsidRPr="009448B4">
              <w:rPr>
                <w:rFonts w:ascii="Aparajita" w:eastAsia="Times New Roman" w:hAnsi="Aparajita" w:cs="Aparajita"/>
                <w:b/>
                <w:snapToGrid w:val="0"/>
                <w:sz w:val="28"/>
                <w:szCs w:val="28"/>
              </w:rPr>
              <w:t xml:space="preserve">Brueckner </w:t>
            </w:r>
            <w:r w:rsidR="00C85102" w:rsidRPr="009448B4">
              <w:rPr>
                <w:rFonts w:ascii="Aparajita" w:eastAsia="Times New Roman" w:hAnsi="Aparajita" w:cs="Aparajita"/>
                <w:b/>
                <w:snapToGrid w:val="0"/>
                <w:sz w:val="28"/>
                <w:szCs w:val="28"/>
              </w:rPr>
              <w:t xml:space="preserve">Lab-Specific </w:t>
            </w:r>
            <w:r w:rsidR="00C85102" w:rsidRPr="009448B4">
              <w:rPr>
                <w:rFonts w:ascii="Aparajita" w:eastAsia="Times New Roman" w:hAnsi="Aparajita" w:cs="Aparajita"/>
                <w:b/>
                <w:snapToGrid w:val="0"/>
                <w:sz w:val="28"/>
                <w:szCs w:val="28"/>
              </w:rPr>
              <w:br w:type="page"/>
            </w:r>
            <w:r w:rsidR="00C85102" w:rsidRPr="009448B4">
              <w:rPr>
                <w:rFonts w:ascii="Aparajita" w:eastAsia="Cambria" w:hAnsi="Aparajita" w:cs="Aparajita"/>
                <w:b/>
                <w:snapToGrid w:val="0"/>
                <w:color w:val="FFFFFF"/>
                <w:sz w:val="28"/>
                <w:szCs w:val="28"/>
              </w:rPr>
              <w:t xml:space="preserve">Standard Operating Procedure </w:t>
            </w:r>
            <w:r w:rsidR="00AC441D" w:rsidRPr="009448B4">
              <w:rPr>
                <w:rFonts w:ascii="Aparajita" w:eastAsia="Cambria" w:hAnsi="Aparajita" w:cs="Aparajita"/>
                <w:b/>
                <w:snapToGrid w:val="0"/>
                <w:color w:val="FFFFFF"/>
                <w:sz w:val="28"/>
                <w:szCs w:val="28"/>
              </w:rPr>
              <w:t>(LSOP)</w:t>
            </w:r>
            <w:r w:rsidR="009448B4" w:rsidRPr="009448B4">
              <w:rPr>
                <w:rFonts w:ascii="Aparajita" w:eastAsia="Cambria" w:hAnsi="Aparajita" w:cs="Aparajita"/>
                <w:b/>
                <w:snapToGrid w:val="0"/>
                <w:color w:val="FFFFFF"/>
                <w:sz w:val="28"/>
                <w:szCs w:val="28"/>
              </w:rPr>
              <w:t>:</w:t>
            </w:r>
          </w:p>
          <w:p w14:paraId="6E16573B" w14:textId="105EDE3F" w:rsidR="009448B4" w:rsidRPr="00B13C4C" w:rsidRDefault="009448B4" w:rsidP="009448B4">
            <w:pPr>
              <w:widowControl w:val="0"/>
              <w:spacing w:before="80" w:after="80" w:line="240" w:lineRule="auto"/>
              <w:jc w:val="center"/>
              <w:rPr>
                <w:rFonts w:ascii="Aparajita" w:eastAsia="Cambria" w:hAnsi="Aparajita" w:cs="Aparajita"/>
                <w:b/>
                <w:snapToGrid w:val="0"/>
                <w:color w:val="FFFFFF"/>
                <w:sz w:val="36"/>
                <w:szCs w:val="36"/>
              </w:rPr>
            </w:pPr>
            <w:r>
              <w:rPr>
                <w:rFonts w:ascii="Aparajita" w:eastAsia="Cambria" w:hAnsi="Aparajita" w:cs="Aparajita"/>
                <w:b/>
                <w:snapToGrid w:val="0"/>
                <w:color w:val="FFFFFF"/>
                <w:sz w:val="28"/>
                <w:szCs w:val="28"/>
              </w:rPr>
              <w:t xml:space="preserve">Drying/Distilling of THF over </w:t>
            </w:r>
            <w:r w:rsidR="00B13C4C">
              <w:rPr>
                <w:rFonts w:ascii="Aparajita" w:eastAsia="Cambria" w:hAnsi="Aparajita" w:cs="Aparajita"/>
                <w:b/>
                <w:snapToGrid w:val="0"/>
                <w:color w:val="FFFFFF"/>
                <w:sz w:val="28"/>
                <w:szCs w:val="28"/>
              </w:rPr>
              <w:t>Elemental S</w:t>
            </w:r>
            <w:r>
              <w:rPr>
                <w:rFonts w:ascii="Aparajita" w:eastAsia="Cambria" w:hAnsi="Aparajita" w:cs="Aparajita"/>
                <w:b/>
                <w:snapToGrid w:val="0"/>
                <w:color w:val="FFFFFF"/>
                <w:sz w:val="28"/>
                <w:szCs w:val="28"/>
              </w:rPr>
              <w:t>odium</w:t>
            </w:r>
            <w:r w:rsidR="00B13C4C">
              <w:rPr>
                <w:rFonts w:ascii="Aparajita" w:eastAsia="Cambria" w:hAnsi="Aparajita" w:cs="Aparajita"/>
                <w:b/>
                <w:snapToGrid w:val="0"/>
                <w:color w:val="FFFFFF"/>
                <w:sz w:val="28"/>
                <w:szCs w:val="28"/>
              </w:rPr>
              <w:t xml:space="preserve"> and CH</w:t>
            </w:r>
            <w:r w:rsidR="00B13C4C" w:rsidRPr="00B13C4C">
              <w:rPr>
                <w:rFonts w:ascii="Aparajita" w:eastAsia="Cambria" w:hAnsi="Aparajita" w:cs="Aparajita"/>
                <w:b/>
                <w:snapToGrid w:val="0"/>
                <w:color w:val="FFFFFF"/>
                <w:sz w:val="28"/>
                <w:szCs w:val="28"/>
                <w:vertAlign w:val="subscript"/>
              </w:rPr>
              <w:t>2</w:t>
            </w:r>
            <w:r w:rsidR="00B13C4C">
              <w:rPr>
                <w:rFonts w:ascii="Aparajita" w:eastAsia="Cambria" w:hAnsi="Aparajita" w:cs="Aparajita"/>
                <w:b/>
                <w:snapToGrid w:val="0"/>
                <w:color w:val="FFFFFF"/>
                <w:sz w:val="28"/>
                <w:szCs w:val="28"/>
              </w:rPr>
              <w:t>Cl</w:t>
            </w:r>
            <w:r w:rsidR="00B13C4C" w:rsidRPr="00B13C4C">
              <w:rPr>
                <w:rFonts w:ascii="Aparajita" w:eastAsia="Cambria" w:hAnsi="Aparajita" w:cs="Aparajita"/>
                <w:b/>
                <w:snapToGrid w:val="0"/>
                <w:color w:val="FFFFFF"/>
                <w:sz w:val="28"/>
                <w:szCs w:val="28"/>
                <w:vertAlign w:val="subscript"/>
              </w:rPr>
              <w:t>2</w:t>
            </w:r>
            <w:r w:rsidR="00B13C4C">
              <w:rPr>
                <w:rFonts w:ascii="Aparajita" w:eastAsia="Cambria" w:hAnsi="Aparajita" w:cs="Aparajita"/>
                <w:b/>
                <w:snapToGrid w:val="0"/>
                <w:color w:val="FFFFFF"/>
                <w:sz w:val="28"/>
                <w:szCs w:val="28"/>
              </w:rPr>
              <w:t xml:space="preserve"> over </w:t>
            </w:r>
            <w:proofErr w:type="spellStart"/>
            <w:r w:rsidR="00B13C4C">
              <w:rPr>
                <w:rFonts w:ascii="Aparajita" w:eastAsia="Cambria" w:hAnsi="Aparajita" w:cs="Aparajita"/>
                <w:b/>
                <w:snapToGrid w:val="0"/>
                <w:color w:val="FFFFFF"/>
                <w:sz w:val="28"/>
                <w:szCs w:val="28"/>
              </w:rPr>
              <w:t>NaH</w:t>
            </w:r>
            <w:proofErr w:type="spellEnd"/>
          </w:p>
        </w:tc>
      </w:tr>
      <w:tr w:rsidR="00C85102" w:rsidRPr="00C85102" w14:paraId="7A09B4C2" w14:textId="77777777" w:rsidTr="009D496F">
        <w:trPr>
          <w:trHeight w:val="432"/>
          <w:jc w:val="center"/>
        </w:trPr>
        <w:tc>
          <w:tcPr>
            <w:tcW w:w="10784" w:type="dxa"/>
            <w:gridSpan w:val="2"/>
            <w:shd w:val="clear" w:color="auto" w:fill="FFFFFF" w:themeFill="background1"/>
            <w:vAlign w:val="center"/>
          </w:tcPr>
          <w:p w14:paraId="05005D58" w14:textId="25F63E54"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w:t>
            </w:r>
            <w:r w:rsidR="009448B4">
              <w:rPr>
                <w:rFonts w:eastAsia="Times New Roman" w:cs="Aparajita"/>
                <w:b/>
                <w:snapToGrid w:val="0"/>
              </w:rPr>
              <w:t xml:space="preserve"> </w:t>
            </w:r>
            <w:r w:rsidR="00C06577" w:rsidRPr="004A0961">
              <w:rPr>
                <w:rFonts w:eastAsia="Times New Roman" w:cs="Aparajita"/>
                <w:b/>
                <w:snapToGrid w:val="0"/>
              </w:rPr>
              <w:t>(PI)</w:t>
            </w:r>
            <w:r w:rsidRPr="004A0961">
              <w:rPr>
                <w:rFonts w:eastAsia="Times New Roman" w:cs="Aparajita"/>
                <w:b/>
                <w:snapToGrid w:val="0"/>
              </w:rPr>
              <w:t>:</w:t>
            </w:r>
            <w:r w:rsidR="00181E6C">
              <w:rPr>
                <w:rFonts w:eastAsia="Times New Roman" w:cs="Aparajita"/>
                <w:snapToGrid w:val="0"/>
              </w:rPr>
              <w:t xml:space="preserve"> Christian Brueckner</w:t>
            </w:r>
          </w:p>
        </w:tc>
      </w:tr>
      <w:tr w:rsidR="00C85102" w:rsidRPr="00C85102" w14:paraId="2F265035" w14:textId="77777777" w:rsidTr="009D496F">
        <w:trPr>
          <w:trHeight w:val="432"/>
          <w:jc w:val="center"/>
        </w:trPr>
        <w:tc>
          <w:tcPr>
            <w:tcW w:w="5369" w:type="dxa"/>
            <w:shd w:val="clear" w:color="auto" w:fill="FFFFFF" w:themeFill="background1"/>
            <w:vAlign w:val="center"/>
          </w:tcPr>
          <w:p w14:paraId="616874BB"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5415" w:type="dxa"/>
            <w:shd w:val="clear" w:color="auto" w:fill="FFFFFF" w:themeFill="background1"/>
            <w:vAlign w:val="center"/>
          </w:tcPr>
          <w:p w14:paraId="7F530651"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1711BA" w:rsidRPr="00C85102" w14:paraId="46BBA80B" w14:textId="77777777" w:rsidTr="009D496F">
        <w:trPr>
          <w:trHeight w:val="432"/>
          <w:jc w:val="center"/>
        </w:trPr>
        <w:tc>
          <w:tcPr>
            <w:tcW w:w="5369" w:type="dxa"/>
            <w:shd w:val="clear" w:color="auto" w:fill="FFFFFF" w:themeFill="background1"/>
            <w:vAlign w:val="center"/>
          </w:tcPr>
          <w:p w14:paraId="6BDFC19D"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5415" w:type="dxa"/>
            <w:shd w:val="clear" w:color="auto" w:fill="FFFFFF" w:themeFill="background1"/>
            <w:vAlign w:val="center"/>
          </w:tcPr>
          <w:p w14:paraId="0213A55E"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842745" w:rsidRPr="00C85102" w14:paraId="5E4E643F" w14:textId="77777777" w:rsidTr="009D496F">
        <w:trPr>
          <w:trHeight w:val="432"/>
          <w:jc w:val="center"/>
        </w:trPr>
        <w:tc>
          <w:tcPr>
            <w:tcW w:w="10784" w:type="dxa"/>
            <w:gridSpan w:val="2"/>
            <w:shd w:val="clear" w:color="auto" w:fill="000E2F"/>
            <w:vAlign w:val="center"/>
          </w:tcPr>
          <w:p w14:paraId="0509A6BD" w14:textId="77777777" w:rsidR="00842745" w:rsidRPr="00174A02" w:rsidRDefault="00EA36FA" w:rsidP="000570F1">
            <w:pPr>
              <w:pStyle w:val="Heading1"/>
              <w:spacing w:before="80" w:after="80"/>
              <w:rPr>
                <w:rFonts w:asciiTheme="minorHAnsi" w:hAnsiTheme="minorHAnsi"/>
                <w:b/>
                <w:sz w:val="24"/>
                <w:szCs w:val="24"/>
              </w:rPr>
            </w:pPr>
            <w:r w:rsidRPr="003D35EC">
              <w:rPr>
                <w:rFonts w:asciiTheme="minorHAnsi" w:hAnsiTheme="minorHAnsi"/>
                <w:b/>
                <w:color w:val="FFFFFF" w:themeColor="background1"/>
                <w:sz w:val="24"/>
                <w:szCs w:val="24"/>
              </w:rPr>
              <w:t>SECTION 1</w:t>
            </w:r>
            <w:r>
              <w:rPr>
                <w:rFonts w:asciiTheme="minorHAnsi" w:hAnsiTheme="minorHAnsi"/>
                <w:b/>
                <w:color w:val="FFFFFF" w:themeColor="background1"/>
                <w:sz w:val="24"/>
                <w:szCs w:val="24"/>
              </w:rPr>
              <w:t xml:space="preserve">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842745" w:rsidRPr="00362737" w14:paraId="496B7007" w14:textId="77777777" w:rsidTr="009D496F">
        <w:trPr>
          <w:trHeight w:val="432"/>
          <w:jc w:val="center"/>
        </w:trPr>
        <w:tc>
          <w:tcPr>
            <w:tcW w:w="10784" w:type="dxa"/>
            <w:gridSpan w:val="2"/>
            <w:shd w:val="clear" w:color="auto" w:fill="FFFFFF" w:themeFill="background1"/>
            <w:vAlign w:val="center"/>
          </w:tcPr>
          <w:p w14:paraId="26269866" w14:textId="79F00BB1" w:rsidR="005357CE" w:rsidRDefault="0006378C" w:rsidP="005357CE">
            <w:pPr>
              <w:pStyle w:val="ListParagraph"/>
              <w:widowControl w:val="0"/>
              <w:numPr>
                <w:ilvl w:val="0"/>
                <w:numId w:val="14"/>
              </w:numPr>
              <w:spacing w:before="80" w:after="80" w:line="240" w:lineRule="auto"/>
            </w:pPr>
            <w:r>
              <w:t>THF</w:t>
            </w:r>
            <w:r w:rsidR="003D35EC">
              <w:t xml:space="preserve"> – </w:t>
            </w:r>
            <w:r>
              <w:t>flammable solvent and forms h</w:t>
            </w:r>
            <w:r w:rsidR="005357CE">
              <w:t>ighly flammable</w:t>
            </w:r>
            <w:r>
              <w:t xml:space="preserve"> v</w:t>
            </w:r>
            <w:r w:rsidR="005357CE">
              <w:t>apor</w:t>
            </w:r>
            <w:r>
              <w:t>s with a wide explosion range</w:t>
            </w:r>
          </w:p>
          <w:p w14:paraId="4EB674A9" w14:textId="08FD88F4" w:rsidR="005357CE" w:rsidRDefault="003D35EC" w:rsidP="005357CE">
            <w:pPr>
              <w:pStyle w:val="ListParagraph"/>
              <w:widowControl w:val="0"/>
              <w:numPr>
                <w:ilvl w:val="0"/>
                <w:numId w:val="14"/>
              </w:numPr>
              <w:spacing w:before="80" w:after="80" w:line="240" w:lineRule="auto"/>
            </w:pPr>
            <w:r>
              <w:t>THF and CH</w:t>
            </w:r>
            <w:r w:rsidRPr="003D35EC">
              <w:rPr>
                <w:vertAlign w:val="subscript"/>
              </w:rPr>
              <w:t>2</w:t>
            </w:r>
            <w:r>
              <w:t>Cl</w:t>
            </w:r>
            <w:r w:rsidRPr="003D35EC">
              <w:rPr>
                <w:vertAlign w:val="subscript"/>
              </w:rPr>
              <w:t>2</w:t>
            </w:r>
            <w:r>
              <w:t xml:space="preserve"> – c</w:t>
            </w:r>
            <w:r w:rsidR="005357CE">
              <w:t>ause</w:t>
            </w:r>
            <w:r>
              <w:t xml:space="preserve"> </w:t>
            </w:r>
            <w:r w:rsidR="005357CE">
              <w:t>skin irritation</w:t>
            </w:r>
          </w:p>
          <w:p w14:paraId="62F28A05" w14:textId="015B8301" w:rsidR="005357CE" w:rsidRDefault="003D35EC" w:rsidP="003D35EC">
            <w:pPr>
              <w:pStyle w:val="ListParagraph"/>
              <w:widowControl w:val="0"/>
              <w:numPr>
                <w:ilvl w:val="0"/>
                <w:numId w:val="14"/>
              </w:numPr>
              <w:spacing w:before="80" w:after="80" w:line="240" w:lineRule="auto"/>
            </w:pPr>
            <w:r>
              <w:t>THF – may form an explosive peroxide</w:t>
            </w:r>
          </w:p>
          <w:p w14:paraId="0068A415" w14:textId="72982F40" w:rsidR="005357CE" w:rsidRPr="00362737" w:rsidRDefault="007226FC" w:rsidP="00B13C4C">
            <w:pPr>
              <w:pStyle w:val="ListParagraph"/>
              <w:widowControl w:val="0"/>
              <w:numPr>
                <w:ilvl w:val="0"/>
                <w:numId w:val="14"/>
              </w:numPr>
              <w:spacing w:before="80" w:after="80" w:line="240" w:lineRule="auto"/>
            </w:pPr>
            <w:r>
              <w:t xml:space="preserve">Elemental </w:t>
            </w:r>
            <w:r w:rsidR="003D35EC">
              <w:t>Sodium</w:t>
            </w:r>
            <w:r>
              <w:t xml:space="preserve"> (Na)</w:t>
            </w:r>
            <w:r w:rsidR="003D35EC">
              <w:t xml:space="preserve"> </w:t>
            </w:r>
            <w:r w:rsidR="00FB00B9">
              <w:t xml:space="preserve">and </w:t>
            </w:r>
            <w:r>
              <w:t>calcium</w:t>
            </w:r>
            <w:r w:rsidR="00FB00B9">
              <w:t xml:space="preserve"> hydride</w:t>
            </w:r>
            <w:r>
              <w:t xml:space="preserve"> (CaH</w:t>
            </w:r>
            <w:r w:rsidRPr="007226FC">
              <w:rPr>
                <w:vertAlign w:val="subscript"/>
              </w:rPr>
              <w:t>2</w:t>
            </w:r>
            <w:r>
              <w:t>)</w:t>
            </w:r>
            <w:r w:rsidR="00FB00B9">
              <w:t xml:space="preserve"> </w:t>
            </w:r>
            <w:r w:rsidR="003D35EC">
              <w:t>react</w:t>
            </w:r>
            <w:r w:rsidR="00FB00B9">
              <w:t xml:space="preserve"> </w:t>
            </w:r>
            <w:r w:rsidR="003D35EC">
              <w:t xml:space="preserve">violently with water, forming </w:t>
            </w:r>
            <w:proofErr w:type="gramStart"/>
            <w:r w:rsidR="003D35EC">
              <w:t>a caustic product</w:t>
            </w:r>
            <w:r w:rsidR="00FB00B9">
              <w:t>s</w:t>
            </w:r>
            <w:proofErr w:type="gramEnd"/>
            <w:r w:rsidR="003D35EC">
              <w:t xml:space="preserve"> – high risk of eye and skin damage</w:t>
            </w:r>
          </w:p>
        </w:tc>
      </w:tr>
      <w:tr w:rsidR="00842745" w:rsidRPr="00C85102" w14:paraId="05995633" w14:textId="77777777" w:rsidTr="009D496F">
        <w:trPr>
          <w:trHeight w:val="432"/>
          <w:jc w:val="center"/>
        </w:trPr>
        <w:tc>
          <w:tcPr>
            <w:tcW w:w="10784" w:type="dxa"/>
            <w:gridSpan w:val="2"/>
            <w:shd w:val="clear" w:color="auto" w:fill="000E2F"/>
            <w:vAlign w:val="center"/>
          </w:tcPr>
          <w:p w14:paraId="39B59170"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842745" w:rsidRPr="00362737" w14:paraId="2300FBA9" w14:textId="77777777" w:rsidTr="009D496F">
        <w:trPr>
          <w:trHeight w:val="2114"/>
          <w:jc w:val="center"/>
        </w:trPr>
        <w:tc>
          <w:tcPr>
            <w:tcW w:w="10784" w:type="dxa"/>
            <w:gridSpan w:val="2"/>
            <w:shd w:val="clear" w:color="auto" w:fill="FFFFFF" w:themeFill="background1"/>
            <w:vAlign w:val="center"/>
          </w:tcPr>
          <w:p w14:paraId="0F2E75E7" w14:textId="77777777" w:rsidR="009448B4" w:rsidRDefault="009448B4" w:rsidP="009448B4">
            <w:pPr>
              <w:pStyle w:val="ListParagraph"/>
              <w:widowControl w:val="0"/>
              <w:numPr>
                <w:ilvl w:val="0"/>
                <w:numId w:val="6"/>
              </w:numPr>
              <w:spacing w:before="80" w:after="80" w:line="240" w:lineRule="auto"/>
            </w:pPr>
            <w:r>
              <w:t xml:space="preserve">Anyone using the chemicals and procedures described herein needs to have undergone the annual EH&amp;S </w:t>
            </w:r>
            <w:hyperlink r:id="rId8" w:history="1">
              <w:r w:rsidRPr="007815C3">
                <w:rPr>
                  <w:rStyle w:val="Hyperlink"/>
                </w:rPr>
                <w:t>Chemical Hygiene Training</w:t>
              </w:r>
            </w:hyperlink>
          </w:p>
          <w:p w14:paraId="046DCA3B" w14:textId="77777777" w:rsidR="009448B4" w:rsidRDefault="009448B4" w:rsidP="009448B4">
            <w:pPr>
              <w:pStyle w:val="ListParagraph"/>
              <w:widowControl w:val="0"/>
              <w:numPr>
                <w:ilvl w:val="0"/>
                <w:numId w:val="6"/>
              </w:numPr>
              <w:spacing w:before="80" w:after="80" w:line="240" w:lineRule="auto"/>
            </w:pPr>
            <w:r>
              <w:t xml:space="preserve">Be aware of the </w:t>
            </w:r>
            <w:r w:rsidRPr="00362737">
              <w:t>applicable safety data sheets</w:t>
            </w:r>
            <w:r>
              <w:t xml:space="preserve"> (MSDS): </w:t>
            </w:r>
            <w:hyperlink r:id="rId9" w:history="1">
              <w:r w:rsidRPr="009254A8">
                <w:rPr>
                  <w:rStyle w:val="Hyperlink"/>
                  <w:rFonts w:eastAsia="Times New Roman" w:cs="Aparajita"/>
                  <w:snapToGrid w:val="0"/>
                </w:rPr>
                <w:t>http://www.msds.com</w:t>
              </w:r>
            </w:hyperlink>
          </w:p>
          <w:p w14:paraId="4E07F6F6" w14:textId="1A6A715B" w:rsidR="004A0961" w:rsidRPr="002A6079" w:rsidRDefault="00BA650E" w:rsidP="009448B4">
            <w:pPr>
              <w:pStyle w:val="ListParagraph"/>
              <w:widowControl w:val="0"/>
              <w:numPr>
                <w:ilvl w:val="0"/>
                <w:numId w:val="6"/>
              </w:numPr>
              <w:spacing w:after="0" w:line="240" w:lineRule="auto"/>
              <w:rPr>
                <w:rFonts w:cs="Tahoma"/>
                <w:color w:val="000000"/>
                <w:shd w:val="clear" w:color="auto" w:fill="FFFFFF"/>
              </w:rPr>
            </w:pPr>
            <w:hyperlink r:id="rId10" w:history="1">
              <w:r w:rsidR="009448B4" w:rsidRPr="00362737">
                <w:rPr>
                  <w:rStyle w:val="Hyperlink"/>
                </w:rPr>
                <w:t>Working Alone</w:t>
              </w:r>
            </w:hyperlink>
            <w:r w:rsidR="009448B4" w:rsidRPr="00362737">
              <w:t xml:space="preserve"> </w:t>
            </w:r>
            <w:r w:rsidR="009448B4">
              <w:t>is not permitted when using chemicals or processes described in this LSOP – this includes the setup, refreshing, or quenching of the still</w:t>
            </w:r>
          </w:p>
          <w:p w14:paraId="0BC86CC2" w14:textId="531720FF" w:rsidR="002A6079" w:rsidRPr="000570F1" w:rsidRDefault="006B04B0" w:rsidP="009448B4">
            <w:pPr>
              <w:pStyle w:val="ListParagraph"/>
              <w:widowControl w:val="0"/>
              <w:numPr>
                <w:ilvl w:val="0"/>
                <w:numId w:val="6"/>
              </w:numPr>
              <w:spacing w:after="0" w:line="240" w:lineRule="auto"/>
              <w:rPr>
                <w:rFonts w:cs="Tahoma"/>
                <w:color w:val="000000"/>
                <w:shd w:val="clear" w:color="auto" w:fill="FFFFFF"/>
              </w:rPr>
            </w:pPr>
            <w:r>
              <w:rPr>
                <w:rFonts w:cs="Tahoma"/>
                <w:color w:val="000000"/>
                <w:shd w:val="clear" w:color="auto" w:fill="FFFFFF"/>
              </w:rPr>
              <w:t xml:space="preserve">Know the location of the nearest </w:t>
            </w:r>
            <w:r w:rsidR="009448B4">
              <w:rPr>
                <w:rFonts w:cs="Tahoma"/>
                <w:color w:val="000000"/>
                <w:shd w:val="clear" w:color="auto" w:fill="FFFFFF"/>
              </w:rPr>
              <w:t>sand bucket (</w:t>
            </w:r>
            <w:r w:rsidR="009448B4">
              <w:t>located in the between R413 and R415)</w:t>
            </w:r>
            <w:r w:rsidR="009448B4">
              <w:rPr>
                <w:rFonts w:cs="Tahoma"/>
                <w:color w:val="000000"/>
                <w:shd w:val="clear" w:color="auto" w:fill="FFFFFF"/>
              </w:rPr>
              <w:t xml:space="preserve">, </w:t>
            </w:r>
            <w:r>
              <w:rPr>
                <w:rFonts w:cs="Tahoma"/>
                <w:color w:val="000000"/>
                <w:shd w:val="clear" w:color="auto" w:fill="FFFFFF"/>
              </w:rPr>
              <w:t>eyewash</w:t>
            </w:r>
            <w:r w:rsidR="009448B4">
              <w:rPr>
                <w:rFonts w:cs="Tahoma"/>
                <w:color w:val="000000"/>
                <w:shd w:val="clear" w:color="auto" w:fill="FFFFFF"/>
              </w:rPr>
              <w:t>,</w:t>
            </w:r>
            <w:r>
              <w:rPr>
                <w:rFonts w:cs="Tahoma"/>
                <w:color w:val="000000"/>
                <w:shd w:val="clear" w:color="auto" w:fill="FFFFFF"/>
              </w:rPr>
              <w:t xml:space="preserve"> an</w:t>
            </w:r>
            <w:r w:rsidR="009448B4">
              <w:rPr>
                <w:rFonts w:cs="Tahoma"/>
                <w:color w:val="000000"/>
                <w:shd w:val="clear" w:color="auto" w:fill="FFFFFF"/>
              </w:rPr>
              <w:t>d</w:t>
            </w:r>
            <w:r>
              <w:rPr>
                <w:rFonts w:cs="Tahoma"/>
                <w:color w:val="000000"/>
                <w:shd w:val="clear" w:color="auto" w:fill="FFFFFF"/>
              </w:rPr>
              <w:t xml:space="preserve"> safety shower before beginning work</w:t>
            </w:r>
          </w:p>
        </w:tc>
      </w:tr>
      <w:tr w:rsidR="00842745" w:rsidRPr="00C85102" w14:paraId="1A017AA4" w14:textId="77777777" w:rsidTr="009D496F">
        <w:trPr>
          <w:trHeight w:val="432"/>
          <w:jc w:val="center"/>
        </w:trPr>
        <w:tc>
          <w:tcPr>
            <w:tcW w:w="10784" w:type="dxa"/>
            <w:gridSpan w:val="2"/>
            <w:tcBorders>
              <w:bottom w:val="single" w:sz="4" w:space="0" w:color="auto"/>
            </w:tcBorders>
            <w:shd w:val="clear" w:color="auto" w:fill="000E2F"/>
            <w:vAlign w:val="center"/>
          </w:tcPr>
          <w:p w14:paraId="77C34A2C"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B13C4C" w:rsidRPr="00C85102" w14:paraId="4320C9E1" w14:textId="77777777" w:rsidTr="009D496F">
        <w:trPr>
          <w:trHeight w:val="432"/>
          <w:jc w:val="center"/>
        </w:trPr>
        <w:tc>
          <w:tcPr>
            <w:tcW w:w="10784" w:type="dxa"/>
            <w:gridSpan w:val="2"/>
            <w:shd w:val="clear" w:color="auto" w:fill="auto"/>
            <w:vAlign w:val="center"/>
          </w:tcPr>
          <w:p w14:paraId="09C6F4D6" w14:textId="0EBE906E" w:rsidR="00B13C4C" w:rsidRPr="00B13C4C" w:rsidRDefault="00B13C4C" w:rsidP="00B13C4C">
            <w:pPr>
              <w:pStyle w:val="Heading1"/>
              <w:numPr>
                <w:ilvl w:val="0"/>
                <w:numId w:val="8"/>
              </w:numPr>
              <w:spacing w:before="0" w:after="60" w:line="240" w:lineRule="auto"/>
              <w:rPr>
                <w:rFonts w:asciiTheme="minorHAnsi" w:hAnsiTheme="minorHAnsi" w:cstheme="minorHAnsi"/>
                <w:color w:val="000000" w:themeColor="text1"/>
                <w:sz w:val="22"/>
                <w:szCs w:val="22"/>
              </w:rPr>
            </w:pPr>
            <w:r w:rsidRPr="00B13C4C">
              <w:rPr>
                <w:rFonts w:asciiTheme="minorHAnsi" w:hAnsiTheme="minorHAnsi" w:cstheme="minorHAnsi"/>
                <w:color w:val="000000" w:themeColor="text1"/>
                <w:sz w:val="22"/>
                <w:szCs w:val="22"/>
              </w:rPr>
              <w:t>This set-up needs to be located in a secondary metal tray</w:t>
            </w:r>
            <w:r>
              <w:rPr>
                <w:rFonts w:asciiTheme="minorHAnsi" w:hAnsiTheme="minorHAnsi" w:cstheme="minorHAnsi"/>
                <w:color w:val="000000" w:themeColor="text1"/>
                <w:sz w:val="22"/>
                <w:szCs w:val="22"/>
              </w:rPr>
              <w:t xml:space="preserve"> to limit a spill/fire if the spilled solvents catches fire.</w:t>
            </w:r>
          </w:p>
          <w:p w14:paraId="30AB6F83" w14:textId="3FB77F5D" w:rsidR="00B13C4C" w:rsidRPr="00B13C4C" w:rsidRDefault="00B13C4C" w:rsidP="00B13C4C">
            <w:pPr>
              <w:pStyle w:val="Heading1"/>
              <w:numPr>
                <w:ilvl w:val="0"/>
                <w:numId w:val="8"/>
              </w:numPr>
              <w:spacing w:before="0" w:after="60" w:line="240" w:lineRule="auto"/>
              <w:rPr>
                <w:rFonts w:asciiTheme="minorHAnsi" w:hAnsiTheme="minorHAnsi" w:cstheme="minorHAnsi"/>
                <w:color w:val="000000" w:themeColor="text1"/>
                <w:sz w:val="22"/>
                <w:szCs w:val="22"/>
              </w:rPr>
            </w:pPr>
            <w:r w:rsidRPr="00B13C4C">
              <w:rPr>
                <w:rFonts w:asciiTheme="minorHAnsi" w:hAnsiTheme="minorHAnsi" w:cstheme="minorHAnsi"/>
                <w:color w:val="000000" w:themeColor="text1"/>
                <w:sz w:val="22"/>
                <w:szCs w:val="22"/>
              </w:rPr>
              <w:t>A water flow monitor needs to be attached that cuts the power to the heating mantle if not sufficient cooling is provided</w:t>
            </w:r>
            <w:r>
              <w:rPr>
                <w:rFonts w:asciiTheme="minorHAnsi" w:hAnsiTheme="minorHAnsi" w:cstheme="minorHAnsi"/>
                <w:color w:val="000000" w:themeColor="text1"/>
                <w:sz w:val="22"/>
                <w:szCs w:val="22"/>
              </w:rPr>
              <w:t>.</w:t>
            </w:r>
          </w:p>
          <w:p w14:paraId="6E8534AD" w14:textId="618CECC9" w:rsidR="00B13C4C" w:rsidRDefault="00B13C4C" w:rsidP="00B13C4C">
            <w:pPr>
              <w:pStyle w:val="Heading1"/>
              <w:numPr>
                <w:ilvl w:val="0"/>
                <w:numId w:val="8"/>
              </w:numPr>
              <w:spacing w:before="0" w:after="60" w:line="240" w:lineRule="auto"/>
              <w:rPr>
                <w:rFonts w:asciiTheme="minorHAnsi" w:hAnsiTheme="minorHAnsi" w:cstheme="minorHAnsi"/>
                <w:color w:val="000000" w:themeColor="text1"/>
                <w:sz w:val="22"/>
                <w:szCs w:val="22"/>
              </w:rPr>
            </w:pPr>
            <w:r w:rsidRPr="00B13C4C">
              <w:rPr>
                <w:rFonts w:asciiTheme="minorHAnsi" w:hAnsiTheme="minorHAnsi" w:cstheme="minorHAnsi"/>
                <w:color w:val="000000" w:themeColor="text1"/>
                <w:sz w:val="22"/>
                <w:szCs w:val="22"/>
              </w:rPr>
              <w:t xml:space="preserve">Use of a </w:t>
            </w:r>
            <w:r>
              <w:rPr>
                <w:rFonts w:asciiTheme="minorHAnsi" w:hAnsiTheme="minorHAnsi" w:cstheme="minorHAnsi"/>
                <w:color w:val="000000" w:themeColor="text1"/>
                <w:sz w:val="22"/>
                <w:szCs w:val="22"/>
              </w:rPr>
              <w:t>blast</w:t>
            </w:r>
            <w:r w:rsidRPr="00B13C4C">
              <w:rPr>
                <w:rFonts w:asciiTheme="minorHAnsi" w:hAnsiTheme="minorHAnsi" w:cstheme="minorHAnsi"/>
                <w:color w:val="000000" w:themeColor="text1"/>
                <w:sz w:val="22"/>
                <w:szCs w:val="22"/>
              </w:rPr>
              <w:t xml:space="preserve"> shield </w:t>
            </w:r>
            <w:r>
              <w:rPr>
                <w:rFonts w:asciiTheme="minorHAnsi" w:hAnsiTheme="minorHAnsi" w:cstheme="minorHAnsi"/>
                <w:color w:val="000000" w:themeColor="text1"/>
                <w:sz w:val="22"/>
                <w:szCs w:val="22"/>
              </w:rPr>
              <w:t xml:space="preserve">in front of the set-up </w:t>
            </w:r>
            <w:r w:rsidRPr="00B13C4C">
              <w:rPr>
                <w:rFonts w:asciiTheme="minorHAnsi" w:hAnsiTheme="minorHAnsi" w:cstheme="minorHAnsi"/>
                <w:color w:val="000000" w:themeColor="text1"/>
                <w:sz w:val="22"/>
                <w:szCs w:val="22"/>
              </w:rPr>
              <w:t>is required</w:t>
            </w:r>
            <w:r>
              <w:rPr>
                <w:rFonts w:asciiTheme="minorHAnsi" w:hAnsiTheme="minorHAnsi" w:cstheme="minorHAnsi"/>
                <w:color w:val="000000" w:themeColor="text1"/>
                <w:sz w:val="22"/>
                <w:szCs w:val="22"/>
              </w:rPr>
              <w:t>.</w:t>
            </w:r>
          </w:p>
          <w:p w14:paraId="075E2E3F" w14:textId="114184AC" w:rsidR="00B13C4C" w:rsidRPr="00B13C4C" w:rsidRDefault="00B13C4C" w:rsidP="00B13C4C">
            <w:pPr>
              <w:pStyle w:val="Heading1"/>
              <w:numPr>
                <w:ilvl w:val="0"/>
                <w:numId w:val="8"/>
              </w:numPr>
              <w:spacing w:before="0" w:after="60" w:line="240" w:lineRule="auto"/>
              <w:rPr>
                <w:rFonts w:asciiTheme="minorHAnsi" w:hAnsiTheme="minorHAnsi" w:cstheme="minorHAnsi"/>
                <w:color w:val="000000" w:themeColor="text1"/>
                <w:sz w:val="22"/>
                <w:szCs w:val="22"/>
              </w:rPr>
            </w:pPr>
            <w:r w:rsidRPr="00B13C4C">
              <w:rPr>
                <w:rFonts w:asciiTheme="minorHAnsi" w:hAnsiTheme="minorHAnsi" w:cstheme="minorHAnsi"/>
                <w:color w:val="000000" w:themeColor="text1"/>
                <w:sz w:val="22"/>
                <w:szCs w:val="22"/>
              </w:rPr>
              <w:t xml:space="preserve">Eliminate all sources (open flames, hot surface, static electricity and operation of mechanical and electrical equipment) near the setup during operation and particularly </w:t>
            </w:r>
            <w:r>
              <w:rPr>
                <w:rFonts w:asciiTheme="minorHAnsi" w:hAnsiTheme="minorHAnsi" w:cstheme="minorHAnsi"/>
                <w:color w:val="000000" w:themeColor="text1"/>
                <w:sz w:val="22"/>
                <w:szCs w:val="22"/>
              </w:rPr>
              <w:t xml:space="preserve">when </w:t>
            </w:r>
            <w:r w:rsidRPr="00B13C4C">
              <w:rPr>
                <w:rFonts w:asciiTheme="minorHAnsi" w:hAnsiTheme="minorHAnsi" w:cstheme="minorHAnsi"/>
                <w:color w:val="000000" w:themeColor="text1"/>
                <w:sz w:val="22"/>
                <w:szCs w:val="22"/>
              </w:rPr>
              <w:t>dispensing solvents</w:t>
            </w:r>
            <w:r>
              <w:rPr>
                <w:rFonts w:asciiTheme="minorHAnsi" w:hAnsiTheme="minorHAnsi" w:cstheme="minorHAnsi"/>
                <w:color w:val="000000" w:themeColor="text1"/>
                <w:sz w:val="22"/>
                <w:szCs w:val="22"/>
              </w:rPr>
              <w:t>.</w:t>
            </w:r>
          </w:p>
        </w:tc>
      </w:tr>
      <w:tr w:rsidR="00842745" w:rsidRPr="00C85102" w14:paraId="7CC3BC4C" w14:textId="77777777" w:rsidTr="009D496F">
        <w:trPr>
          <w:trHeight w:val="432"/>
          <w:jc w:val="center"/>
        </w:trPr>
        <w:tc>
          <w:tcPr>
            <w:tcW w:w="10784" w:type="dxa"/>
            <w:gridSpan w:val="2"/>
            <w:shd w:val="clear" w:color="auto" w:fill="000E2F"/>
            <w:vAlign w:val="center"/>
          </w:tcPr>
          <w:p w14:paraId="774A69A4"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842745" w:rsidRPr="00362737" w14:paraId="4F177A95" w14:textId="77777777" w:rsidTr="009D496F">
        <w:trPr>
          <w:trHeight w:val="2267"/>
          <w:jc w:val="center"/>
        </w:trPr>
        <w:tc>
          <w:tcPr>
            <w:tcW w:w="10784" w:type="dxa"/>
            <w:gridSpan w:val="2"/>
            <w:shd w:val="clear" w:color="auto" w:fill="FFFFFF" w:themeFill="background1"/>
            <w:vAlign w:val="center"/>
          </w:tcPr>
          <w:p w14:paraId="7E0A6C57" w14:textId="0E0C8D7D" w:rsidR="00A06A44" w:rsidRDefault="00A06A44" w:rsidP="009D496F">
            <w:pPr>
              <w:pStyle w:val="ListParagraph"/>
              <w:numPr>
                <w:ilvl w:val="0"/>
                <w:numId w:val="25"/>
              </w:numPr>
              <w:spacing w:line="240" w:lineRule="auto"/>
            </w:pPr>
            <w:r>
              <w:t xml:space="preserve">Label each </w:t>
            </w:r>
            <w:r w:rsidR="00FB00B9">
              <w:t xml:space="preserve">THF bottle </w:t>
            </w:r>
            <w:r>
              <w:t>with the date received, date opened and date last used.</w:t>
            </w:r>
          </w:p>
          <w:p w14:paraId="720E9BEA" w14:textId="145D7765" w:rsidR="00A06A44" w:rsidRDefault="00A06A44" w:rsidP="009D496F">
            <w:pPr>
              <w:pStyle w:val="ListParagraph"/>
              <w:numPr>
                <w:ilvl w:val="0"/>
                <w:numId w:val="25"/>
              </w:numPr>
              <w:spacing w:line="240" w:lineRule="auto"/>
            </w:pPr>
            <w:r>
              <w:t xml:space="preserve">Test </w:t>
            </w:r>
            <w:r w:rsidR="00084FB8">
              <w:t>THF</w:t>
            </w:r>
            <w:r>
              <w:t xml:space="preserve"> for peroxide before any distillation or purification of peroxide forming chemical.</w:t>
            </w:r>
          </w:p>
          <w:p w14:paraId="60BA2A1E" w14:textId="77777777" w:rsidR="00A06A44" w:rsidRDefault="00A06A44" w:rsidP="009D496F">
            <w:pPr>
              <w:pStyle w:val="ListParagraph"/>
              <w:numPr>
                <w:ilvl w:val="0"/>
                <w:numId w:val="25"/>
              </w:numPr>
              <w:spacing w:line="240" w:lineRule="auto"/>
            </w:pPr>
            <w:r>
              <w:t>Minimize peroxide formation by storing in tightly sealed containers in a cool place in the absence of light.</w:t>
            </w:r>
          </w:p>
          <w:p w14:paraId="29201A5B" w14:textId="77777777" w:rsidR="00FB00B9" w:rsidRDefault="00FB00B9" w:rsidP="009D496F">
            <w:pPr>
              <w:pStyle w:val="ListParagraph"/>
              <w:numPr>
                <w:ilvl w:val="0"/>
                <w:numId w:val="25"/>
              </w:numPr>
              <w:spacing w:line="240" w:lineRule="auto"/>
            </w:pPr>
            <w:r>
              <w:t>Never run the still without the proper engineering controls in place</w:t>
            </w:r>
          </w:p>
          <w:p w14:paraId="1CE04AC6" w14:textId="286655EC" w:rsidR="00084FB8" w:rsidRDefault="00084FB8" w:rsidP="009D496F">
            <w:pPr>
              <w:pStyle w:val="ListParagraph"/>
              <w:numPr>
                <w:ilvl w:val="0"/>
                <w:numId w:val="25"/>
              </w:numPr>
              <w:spacing w:line="240" w:lineRule="auto"/>
            </w:pPr>
            <w:r w:rsidRPr="00B13C4C">
              <w:rPr>
                <w:i/>
              </w:rPr>
              <w:t>Never attempt to dry a halogenated solvent with metallic sodium</w:t>
            </w:r>
            <w:r w:rsidR="009206AE">
              <w:t>.</w:t>
            </w:r>
          </w:p>
          <w:p w14:paraId="7C1BBC65" w14:textId="3CB5E030" w:rsidR="009206AE" w:rsidRPr="00A06A44" w:rsidRDefault="009206AE" w:rsidP="009D496F">
            <w:pPr>
              <w:pStyle w:val="ListParagraph"/>
              <w:numPr>
                <w:ilvl w:val="0"/>
                <w:numId w:val="25"/>
              </w:numPr>
              <w:spacing w:line="240" w:lineRule="auto"/>
            </w:pPr>
            <w:r w:rsidRPr="00F330C3">
              <w:t xml:space="preserve">Become familiar with the </w:t>
            </w:r>
            <w:r>
              <w:t>cleaning/</w:t>
            </w:r>
            <w:r w:rsidRPr="00F330C3">
              <w:t xml:space="preserve">maintenance of the </w:t>
            </w:r>
            <w:r>
              <w:t>solvent still by asking more senior members in your research group and which part can be replaced/cleaned/decontaminated/degreased, and how.</w:t>
            </w:r>
          </w:p>
        </w:tc>
      </w:tr>
      <w:tr w:rsidR="00842745" w:rsidRPr="00C85102" w14:paraId="24E0167E" w14:textId="77777777" w:rsidTr="009D496F">
        <w:trPr>
          <w:trHeight w:val="432"/>
          <w:jc w:val="center"/>
        </w:trPr>
        <w:tc>
          <w:tcPr>
            <w:tcW w:w="10784" w:type="dxa"/>
            <w:gridSpan w:val="2"/>
            <w:shd w:val="clear" w:color="auto" w:fill="000E2F"/>
            <w:vAlign w:val="center"/>
          </w:tcPr>
          <w:p w14:paraId="52C684C3"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5 – PERSONAL PROTECTIVE EQUIPMENT (PPE)</w:t>
            </w:r>
          </w:p>
        </w:tc>
      </w:tr>
      <w:tr w:rsidR="00C76674" w:rsidRPr="00362737" w14:paraId="751567C8" w14:textId="77777777" w:rsidTr="009D496F">
        <w:trPr>
          <w:trHeight w:val="1286"/>
          <w:jc w:val="center"/>
        </w:trPr>
        <w:tc>
          <w:tcPr>
            <w:tcW w:w="10784" w:type="dxa"/>
            <w:gridSpan w:val="2"/>
            <w:shd w:val="clear" w:color="auto" w:fill="FFFFFF" w:themeFill="background1"/>
            <w:vAlign w:val="center"/>
          </w:tcPr>
          <w:p w14:paraId="40DB747F" w14:textId="5CE3FE08" w:rsidR="008A4F82" w:rsidRPr="008A4F82" w:rsidRDefault="008A4F82" w:rsidP="009D496F">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8A4F82">
              <w:t>At a minimum, nitrile gloves, a lab coat, long pants as well as closed-toed footwear and chemical safety glasses must be worn when handling the solvent still.</w:t>
            </w:r>
          </w:p>
          <w:p w14:paraId="7483886B" w14:textId="1A983989" w:rsidR="004A0961" w:rsidRPr="00CA32A7" w:rsidRDefault="00357045" w:rsidP="009D496F">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8A4F82">
              <w:t xml:space="preserve">When performing a hazardous activity such as adding </w:t>
            </w:r>
            <w:r w:rsidR="007226FC">
              <w:t xml:space="preserve">cutting </w:t>
            </w:r>
            <w:r w:rsidRPr="008A4F82">
              <w:t>sodium</w:t>
            </w:r>
            <w:r w:rsidR="008A4F82" w:rsidRPr="008A4F82">
              <w:t>,</w:t>
            </w:r>
            <w:r w:rsidRPr="008A4F82">
              <w:t xml:space="preserve"> or </w:t>
            </w:r>
            <w:r w:rsidR="007226FC">
              <w:t>quenchin</w:t>
            </w:r>
            <w:r w:rsidRPr="008A4F82">
              <w:t>g sodium in</w:t>
            </w:r>
            <w:r w:rsidR="007226FC">
              <w:t xml:space="preserve"> </w:t>
            </w:r>
            <w:r w:rsidRPr="008A4F82">
              <w:t>the distillation pot, chemical splash goggles</w:t>
            </w:r>
            <w:r w:rsidR="008A4F82" w:rsidRPr="008A4F82">
              <w:t xml:space="preserve"> or a full-face shield in addition t</w:t>
            </w:r>
            <w:r w:rsidR="009C1FA4">
              <w:t>o</w:t>
            </w:r>
            <w:r w:rsidR="008A4F82" w:rsidRPr="008A4F82">
              <w:t xml:space="preserve"> the safety glasses </w:t>
            </w:r>
            <w:r w:rsidR="009C1FA4">
              <w:t>must</w:t>
            </w:r>
            <w:r w:rsidRPr="008A4F82">
              <w:t xml:space="preserve"> be use</w:t>
            </w:r>
            <w:r w:rsidR="008A4F82" w:rsidRPr="008A4F82">
              <w:t>.</w:t>
            </w:r>
          </w:p>
        </w:tc>
      </w:tr>
      <w:tr w:rsidR="00C76674" w:rsidRPr="00C85102" w14:paraId="6A39F14B" w14:textId="77777777" w:rsidTr="009D496F">
        <w:trPr>
          <w:trHeight w:val="432"/>
          <w:jc w:val="center"/>
        </w:trPr>
        <w:tc>
          <w:tcPr>
            <w:tcW w:w="10784" w:type="dxa"/>
            <w:gridSpan w:val="2"/>
            <w:shd w:val="clear" w:color="auto" w:fill="000E2F"/>
            <w:vAlign w:val="center"/>
          </w:tcPr>
          <w:p w14:paraId="513B47AF"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C76674" w:rsidRPr="00362737" w14:paraId="06DEAC8D" w14:textId="77777777" w:rsidTr="009D496F">
        <w:trPr>
          <w:trHeight w:val="432"/>
          <w:jc w:val="center"/>
        </w:trPr>
        <w:tc>
          <w:tcPr>
            <w:tcW w:w="10784" w:type="dxa"/>
            <w:gridSpan w:val="2"/>
            <w:shd w:val="clear" w:color="auto" w:fill="FFFFFF" w:themeFill="background1"/>
            <w:vAlign w:val="center"/>
          </w:tcPr>
          <w:p w14:paraId="2AF59682" w14:textId="77777777" w:rsidR="006E6E3D" w:rsidRPr="006E6E3D" w:rsidRDefault="006E6E3D" w:rsidP="006E6E3D">
            <w:pPr>
              <w:pStyle w:val="ListParagraph"/>
              <w:widowControl w:val="0"/>
              <w:numPr>
                <w:ilvl w:val="0"/>
                <w:numId w:val="12"/>
              </w:numPr>
              <w:spacing w:before="80" w:after="80" w:line="240" w:lineRule="auto"/>
              <w:rPr>
                <w:rFonts w:eastAsia="Times New Roman" w:cs="Aparajita"/>
                <w:snapToGrid w:val="0"/>
              </w:rPr>
            </w:pPr>
            <w:r>
              <w:t xml:space="preserve">The storage of flammable and combustible liquids in a laboratory, shop or building area must be kept to the minimum needed for research and/or operations. </w:t>
            </w:r>
          </w:p>
          <w:p w14:paraId="7595A269" w14:textId="77777777" w:rsidR="004A0961" w:rsidRPr="007226FC" w:rsidRDefault="0059412C" w:rsidP="009C1FA4">
            <w:pPr>
              <w:pStyle w:val="ListParagraph"/>
              <w:widowControl w:val="0"/>
              <w:numPr>
                <w:ilvl w:val="0"/>
                <w:numId w:val="12"/>
              </w:numPr>
              <w:spacing w:before="80" w:after="80" w:line="240" w:lineRule="auto"/>
              <w:rPr>
                <w:rFonts w:eastAsia="Times New Roman" w:cs="Aparajita"/>
                <w:snapToGrid w:val="0"/>
              </w:rPr>
            </w:pPr>
            <w:r>
              <w:t>A can of sodium under mineral oil is located on the shelf next to the still, separated from other chemicals</w:t>
            </w:r>
            <w:r w:rsidR="006E6E3D">
              <w:t>.</w:t>
            </w:r>
          </w:p>
          <w:p w14:paraId="4BEAB997" w14:textId="1C2933FE" w:rsidR="007226FC" w:rsidRPr="006E6E3D" w:rsidRDefault="007226FC" w:rsidP="007226FC">
            <w:pPr>
              <w:pStyle w:val="ListParagraph"/>
              <w:widowControl w:val="0"/>
              <w:numPr>
                <w:ilvl w:val="0"/>
                <w:numId w:val="12"/>
              </w:numPr>
              <w:spacing w:before="80" w:after="80" w:line="240" w:lineRule="auto"/>
              <w:rPr>
                <w:rFonts w:eastAsia="Times New Roman" w:cs="Aparajita"/>
                <w:snapToGrid w:val="0"/>
              </w:rPr>
            </w:pPr>
            <w:r>
              <w:t>Switch off the still entirely when not in use – including the cooling water</w:t>
            </w:r>
            <w:r w:rsidR="009D496F">
              <w:t>.</w:t>
            </w:r>
            <w:bookmarkStart w:id="0" w:name="_GoBack"/>
            <w:bookmarkEnd w:id="0"/>
          </w:p>
        </w:tc>
      </w:tr>
      <w:tr w:rsidR="00C76674" w:rsidRPr="00C85102" w14:paraId="1AA38A3A" w14:textId="77777777" w:rsidTr="009D496F">
        <w:trPr>
          <w:trHeight w:val="432"/>
          <w:jc w:val="center"/>
        </w:trPr>
        <w:tc>
          <w:tcPr>
            <w:tcW w:w="10784" w:type="dxa"/>
            <w:gridSpan w:val="2"/>
            <w:shd w:val="clear" w:color="auto" w:fill="000E2F"/>
            <w:vAlign w:val="center"/>
          </w:tcPr>
          <w:p w14:paraId="278E56C5"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C76674" w:rsidRPr="00362737" w14:paraId="3DAF0785" w14:textId="77777777" w:rsidTr="009D496F">
        <w:trPr>
          <w:trHeight w:val="1889"/>
          <w:jc w:val="center"/>
        </w:trPr>
        <w:tc>
          <w:tcPr>
            <w:tcW w:w="10784" w:type="dxa"/>
            <w:gridSpan w:val="2"/>
            <w:shd w:val="clear" w:color="auto" w:fill="FFFFFF" w:themeFill="background1"/>
            <w:vAlign w:val="center"/>
          </w:tcPr>
          <w:p w14:paraId="7AB3DADD" w14:textId="7C81D72F" w:rsidR="009C1FA4" w:rsidRDefault="009C1FA4" w:rsidP="009C1FA4">
            <w:pPr>
              <w:widowControl w:val="0"/>
              <w:numPr>
                <w:ilvl w:val="0"/>
                <w:numId w:val="10"/>
              </w:numPr>
              <w:pBdr>
                <w:top w:val="nil"/>
                <w:left w:val="nil"/>
                <w:bottom w:val="nil"/>
                <w:right w:val="nil"/>
                <w:between w:val="nil"/>
              </w:pBdr>
              <w:spacing w:before="80" w:after="80" w:line="240" w:lineRule="auto"/>
              <w:contextualSpacing/>
            </w:pPr>
            <w:r>
              <w:t xml:space="preserve">In case of spills of large quantities of solvent (&gt;500 mL), </w:t>
            </w:r>
            <w:r w:rsidR="00A45FB1">
              <w:t xml:space="preserve">alert all occupants and </w:t>
            </w:r>
            <w:r>
              <w:t>evacuate the lab and consider your next move</w:t>
            </w:r>
            <w:r w:rsidR="00A45FB1">
              <w:t xml:space="preserve">: Call 911, particularly when there is the risk of fire, </w:t>
            </w:r>
            <w:r>
              <w:t>or waiting until the solvent has evaporated, or a clean-up procedure, depending o</w:t>
            </w:r>
            <w:r w:rsidR="00A45FB1">
              <w:t>n the hazards the solvent poses</w:t>
            </w:r>
            <w:r w:rsidR="009D496F">
              <w:t>.</w:t>
            </w:r>
          </w:p>
          <w:p w14:paraId="78BC9C07" w14:textId="77777777" w:rsidR="00A45FB1" w:rsidRDefault="00A45FB1" w:rsidP="009C1FA4">
            <w:pPr>
              <w:widowControl w:val="0"/>
              <w:numPr>
                <w:ilvl w:val="0"/>
                <w:numId w:val="10"/>
              </w:numPr>
              <w:pBdr>
                <w:top w:val="nil"/>
                <w:left w:val="nil"/>
                <w:bottom w:val="nil"/>
                <w:right w:val="nil"/>
                <w:between w:val="nil"/>
              </w:pBdr>
              <w:spacing w:before="80" w:after="80" w:line="240" w:lineRule="auto"/>
              <w:contextualSpacing/>
            </w:pPr>
            <w:r>
              <w:t>If safe to do so, turn off all sources of ignition.</w:t>
            </w:r>
          </w:p>
          <w:p w14:paraId="0F7B3A3F" w14:textId="339B1D8C" w:rsidR="00A45FB1" w:rsidRDefault="00A45FB1" w:rsidP="00A45FB1">
            <w:pPr>
              <w:widowControl w:val="0"/>
              <w:numPr>
                <w:ilvl w:val="0"/>
                <w:numId w:val="10"/>
              </w:numPr>
              <w:pBdr>
                <w:top w:val="nil"/>
                <w:left w:val="nil"/>
                <w:bottom w:val="nil"/>
                <w:right w:val="nil"/>
                <w:between w:val="nil"/>
              </w:pBdr>
              <w:spacing w:before="80" w:after="80" w:line="240" w:lineRule="auto"/>
              <w:contextualSpacing/>
            </w:pPr>
            <w:r>
              <w:t>Turn off all sources of ignition – push the red emergency shut-off button near the exit.</w:t>
            </w:r>
          </w:p>
          <w:p w14:paraId="0EFA9190" w14:textId="6CE45AC5" w:rsidR="006E6E3D" w:rsidRPr="00A45FB1" w:rsidRDefault="009C1FA4" w:rsidP="00A45FB1">
            <w:pPr>
              <w:pStyle w:val="ListParagraph"/>
              <w:widowControl w:val="0"/>
              <w:numPr>
                <w:ilvl w:val="0"/>
                <w:numId w:val="10"/>
              </w:numPr>
              <w:spacing w:before="80" w:after="80" w:line="240" w:lineRule="auto"/>
              <w:rPr>
                <w:rFonts w:eastAsia="Times New Roman" w:cs="Aparajita"/>
                <w:snapToGrid w:val="0"/>
              </w:rPr>
            </w:pPr>
            <w:r w:rsidRPr="005D1245">
              <w:rPr>
                <w:rFonts w:eastAsia="Times New Roman" w:cs="Aparajita"/>
                <w:b/>
                <w:snapToGrid w:val="0"/>
              </w:rPr>
              <w:t xml:space="preserve">Report any incident to the PI </w:t>
            </w:r>
            <w:r w:rsidRPr="005D1245">
              <w:rPr>
                <w:rFonts w:eastAsia="Times New Roman" w:cs="Aparajita"/>
                <w:b/>
                <w:snapToGrid w:val="0"/>
                <w:u w:val="single"/>
              </w:rPr>
              <w:t>and</w:t>
            </w:r>
            <w:r w:rsidRPr="005D1245">
              <w:rPr>
                <w:rFonts w:eastAsia="Times New Roman" w:cs="Aparajita"/>
                <w:b/>
                <w:snapToGrid w:val="0"/>
              </w:rPr>
              <w:t xml:space="preserve"> fill out the </w:t>
            </w:r>
            <w:hyperlink r:id="rId11" w:history="1">
              <w:r w:rsidRPr="005D1245">
                <w:rPr>
                  <w:rStyle w:val="Hyperlink"/>
                  <w:rFonts w:eastAsia="Times New Roman" w:cs="Aparajita"/>
                  <w:b/>
                  <w:snapToGrid w:val="0"/>
                </w:rPr>
                <w:t>accident form</w:t>
              </w:r>
            </w:hyperlink>
          </w:p>
        </w:tc>
      </w:tr>
      <w:tr w:rsidR="00C76674" w:rsidRPr="00C85102" w14:paraId="34654A24" w14:textId="77777777" w:rsidTr="009D496F">
        <w:trPr>
          <w:trHeight w:val="432"/>
          <w:jc w:val="center"/>
        </w:trPr>
        <w:tc>
          <w:tcPr>
            <w:tcW w:w="10784" w:type="dxa"/>
            <w:gridSpan w:val="2"/>
            <w:shd w:val="clear" w:color="auto" w:fill="000E2F"/>
            <w:vAlign w:val="center"/>
          </w:tcPr>
          <w:p w14:paraId="7EC05AB8"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C76674" w:rsidRPr="00362737" w14:paraId="47FC9FBB" w14:textId="77777777" w:rsidTr="009D496F">
        <w:trPr>
          <w:trHeight w:val="3212"/>
          <w:jc w:val="center"/>
        </w:trPr>
        <w:tc>
          <w:tcPr>
            <w:tcW w:w="10784" w:type="dxa"/>
            <w:gridSpan w:val="2"/>
            <w:shd w:val="clear" w:color="auto" w:fill="FFFFFF" w:themeFill="background1"/>
            <w:vAlign w:val="center"/>
          </w:tcPr>
          <w:p w14:paraId="0156E5C8" w14:textId="7A82CD56" w:rsidR="00287D41" w:rsidRDefault="00287D41" w:rsidP="007226FC">
            <w:pPr>
              <w:pStyle w:val="Normal1"/>
              <w:spacing w:before="80" w:after="80" w:line="240" w:lineRule="auto"/>
              <w:contextualSpacing/>
              <w:rPr>
                <w:rFonts w:eastAsia="Times New Roman" w:cs="Aparajita"/>
                <w:snapToGrid w:val="0"/>
                <w:shd w:val="clear" w:color="auto" w:fill="FFFFFF"/>
              </w:rPr>
            </w:pPr>
            <w:r w:rsidRPr="00287D41">
              <w:rPr>
                <w:rFonts w:eastAsia="Times New Roman" w:cs="Aparajita"/>
                <w:i/>
                <w:snapToGrid w:val="0"/>
                <w:shd w:val="clear" w:color="auto" w:fill="FFFFFF"/>
              </w:rPr>
              <w:t>Eyes</w:t>
            </w:r>
          </w:p>
          <w:p w14:paraId="218EE5E8" w14:textId="65BC1BC2" w:rsidR="00287D41" w:rsidRPr="00287D41" w:rsidRDefault="00287D41" w:rsidP="007226FC">
            <w:pPr>
              <w:pStyle w:val="Normal1"/>
              <w:numPr>
                <w:ilvl w:val="0"/>
                <w:numId w:val="30"/>
              </w:numPr>
              <w:spacing w:before="80" w:after="80" w:line="240" w:lineRule="auto"/>
              <w:contextualSpacing/>
              <w:rPr>
                <w:rFonts w:eastAsia="Times New Roman" w:cs="Aparajita"/>
                <w:snapToGrid w:val="0"/>
                <w:shd w:val="clear" w:color="auto" w:fill="FFFFFF"/>
              </w:rPr>
            </w:pPr>
            <w:r w:rsidRPr="00287D41">
              <w:rPr>
                <w:rFonts w:eastAsia="Times New Roman" w:cs="Aparajita"/>
                <w:snapToGrid w:val="0"/>
                <w:shd w:val="clear" w:color="auto" w:fill="FFFFFF"/>
              </w:rPr>
              <w:t>Immediately move to the eyewash station, hold eyelids open and flush with water. Remove contact lenses while flushing (if applicable)</w:t>
            </w:r>
            <w:r w:rsidR="009D496F">
              <w:rPr>
                <w:rFonts w:eastAsia="Times New Roman" w:cs="Aparajita"/>
                <w:snapToGrid w:val="0"/>
                <w:shd w:val="clear" w:color="auto" w:fill="FFFFFF"/>
              </w:rPr>
              <w:t>.</w:t>
            </w:r>
          </w:p>
          <w:p w14:paraId="0216AFA8" w14:textId="77FAA5EB" w:rsidR="00287D41" w:rsidRPr="00287D41" w:rsidRDefault="00287D41" w:rsidP="007226FC">
            <w:pPr>
              <w:pStyle w:val="Normal1"/>
              <w:numPr>
                <w:ilvl w:val="0"/>
                <w:numId w:val="30"/>
              </w:numPr>
              <w:spacing w:before="80" w:after="80" w:line="240" w:lineRule="auto"/>
              <w:contextualSpacing/>
              <w:rPr>
                <w:rFonts w:eastAsia="Times New Roman" w:cs="Aparajita"/>
                <w:snapToGrid w:val="0"/>
                <w:shd w:val="clear" w:color="auto" w:fill="FFFFFF"/>
              </w:rPr>
            </w:pPr>
            <w:r w:rsidRPr="00287D41">
              <w:rPr>
                <w:rFonts w:eastAsia="Times New Roman" w:cs="Aparajita"/>
                <w:snapToGrid w:val="0"/>
                <w:shd w:val="clear" w:color="auto" w:fill="FFFFFF"/>
              </w:rPr>
              <w:t xml:space="preserve">Have another person from the lab dial </w:t>
            </w:r>
            <w:r w:rsidRPr="00287D41">
              <w:rPr>
                <w:rFonts w:eastAsia="Times New Roman" w:cs="Aparajita"/>
                <w:b/>
                <w:snapToGrid w:val="0"/>
                <w:shd w:val="clear" w:color="auto" w:fill="FFFFFF"/>
              </w:rPr>
              <w:t xml:space="preserve">911 </w:t>
            </w:r>
            <w:r w:rsidRPr="00287D41">
              <w:rPr>
                <w:rFonts w:eastAsia="Times New Roman" w:cs="Aparajita"/>
                <w:snapToGrid w:val="0"/>
                <w:shd w:val="clear" w:color="auto" w:fill="FFFFFF"/>
              </w:rPr>
              <w:t xml:space="preserve">and specifically mention </w:t>
            </w:r>
            <w:r>
              <w:rPr>
                <w:rFonts w:eastAsia="Times New Roman" w:cs="Aparajita"/>
                <w:snapToGrid w:val="0"/>
                <w:shd w:val="clear" w:color="auto" w:fill="FFFFFF"/>
              </w:rPr>
              <w:t xml:space="preserve">specific solvent/sodium/sodium hydride/caustic base </w:t>
            </w:r>
            <w:r w:rsidRPr="00287D41">
              <w:rPr>
                <w:rFonts w:eastAsia="Times New Roman" w:cs="Aparajita"/>
                <w:snapToGrid w:val="0"/>
                <w:shd w:val="clear" w:color="auto" w:fill="FFFFFF"/>
              </w:rPr>
              <w:t>exposure</w:t>
            </w:r>
            <w:r w:rsidR="009D496F">
              <w:rPr>
                <w:rFonts w:eastAsia="Times New Roman" w:cs="Aparajita"/>
                <w:snapToGrid w:val="0"/>
                <w:shd w:val="clear" w:color="auto" w:fill="FFFFFF"/>
              </w:rPr>
              <w:t>.</w:t>
            </w:r>
          </w:p>
          <w:p w14:paraId="3B5D6040" w14:textId="620F1738" w:rsidR="00287D41" w:rsidRPr="00287D41" w:rsidRDefault="00287D41" w:rsidP="007226FC">
            <w:pPr>
              <w:pStyle w:val="Normal1"/>
              <w:numPr>
                <w:ilvl w:val="0"/>
                <w:numId w:val="30"/>
              </w:numPr>
              <w:spacing w:before="80" w:after="80" w:line="240" w:lineRule="auto"/>
              <w:contextualSpacing/>
              <w:rPr>
                <w:rFonts w:eastAsia="Times New Roman" w:cs="Aparajita"/>
                <w:snapToGrid w:val="0"/>
                <w:shd w:val="clear" w:color="auto" w:fill="FFFFFF"/>
              </w:rPr>
            </w:pPr>
            <w:r w:rsidRPr="00287D41">
              <w:rPr>
                <w:rFonts w:eastAsia="Times New Roman" w:cs="Aparajita"/>
                <w:snapToGrid w:val="0"/>
                <w:shd w:val="clear" w:color="auto" w:fill="FFFFFF"/>
              </w:rPr>
              <w:t>Continue flushing the eyes until emergency personnel arrives</w:t>
            </w:r>
            <w:r w:rsidR="009D496F">
              <w:rPr>
                <w:rFonts w:eastAsia="Times New Roman" w:cs="Aparajita"/>
                <w:snapToGrid w:val="0"/>
                <w:shd w:val="clear" w:color="auto" w:fill="FFFFFF"/>
              </w:rPr>
              <w:t>.</w:t>
            </w:r>
          </w:p>
          <w:p w14:paraId="08425524" w14:textId="77777777" w:rsidR="00287D41" w:rsidRPr="00287D41" w:rsidRDefault="00287D41" w:rsidP="007226FC">
            <w:pPr>
              <w:pStyle w:val="Normal1"/>
              <w:spacing w:before="80" w:after="80" w:line="240" w:lineRule="auto"/>
              <w:contextualSpacing/>
              <w:rPr>
                <w:rFonts w:eastAsia="Times New Roman" w:cs="Aparajita"/>
                <w:i/>
                <w:snapToGrid w:val="0"/>
                <w:shd w:val="clear" w:color="auto" w:fill="FFFFFF"/>
              </w:rPr>
            </w:pPr>
            <w:r w:rsidRPr="00287D41">
              <w:rPr>
                <w:rFonts w:eastAsia="Times New Roman" w:cs="Aparajita"/>
                <w:i/>
                <w:snapToGrid w:val="0"/>
                <w:shd w:val="clear" w:color="auto" w:fill="FFFFFF"/>
              </w:rPr>
              <w:t>Skin</w:t>
            </w:r>
          </w:p>
          <w:p w14:paraId="73C9010B" w14:textId="78EE1E58" w:rsidR="00287D41" w:rsidRPr="00287D41" w:rsidRDefault="00287D41" w:rsidP="007226FC">
            <w:pPr>
              <w:pStyle w:val="Normal1"/>
              <w:numPr>
                <w:ilvl w:val="0"/>
                <w:numId w:val="30"/>
              </w:numPr>
              <w:spacing w:before="80" w:after="80" w:line="240" w:lineRule="auto"/>
              <w:contextualSpacing/>
              <w:rPr>
                <w:rFonts w:eastAsia="Times New Roman" w:cs="Aparajita"/>
                <w:snapToGrid w:val="0"/>
                <w:shd w:val="clear" w:color="auto" w:fill="FFFFFF"/>
              </w:rPr>
            </w:pPr>
            <w:r w:rsidRPr="00287D41">
              <w:rPr>
                <w:rFonts w:eastAsia="Times New Roman" w:cs="Aparajita"/>
                <w:snapToGrid w:val="0"/>
                <w:shd w:val="clear" w:color="auto" w:fill="FFFFFF"/>
              </w:rPr>
              <w:t>Immediately move to safety shower or other water source and begin rinsing affected area(s). Remove contaminated clothing</w:t>
            </w:r>
            <w:r>
              <w:rPr>
                <w:rFonts w:eastAsia="Times New Roman" w:cs="Aparajita"/>
                <w:snapToGrid w:val="0"/>
                <w:shd w:val="clear" w:color="auto" w:fill="FFFFFF"/>
              </w:rPr>
              <w:t xml:space="preserve"> </w:t>
            </w:r>
            <w:r w:rsidRPr="00287D41">
              <w:rPr>
                <w:rFonts w:eastAsia="Times New Roman" w:cs="Aparajita"/>
                <w:snapToGrid w:val="0"/>
                <w:shd w:val="clear" w:color="auto" w:fill="FFFFFF"/>
              </w:rPr>
              <w:t>while flushing</w:t>
            </w:r>
            <w:r w:rsidR="009D496F">
              <w:rPr>
                <w:rFonts w:eastAsia="Times New Roman" w:cs="Aparajita"/>
                <w:snapToGrid w:val="0"/>
                <w:shd w:val="clear" w:color="auto" w:fill="FFFFFF"/>
              </w:rPr>
              <w:t>.</w:t>
            </w:r>
          </w:p>
          <w:p w14:paraId="695563A2" w14:textId="12238D3D" w:rsidR="00287D41" w:rsidRPr="007226FC" w:rsidRDefault="00287D41" w:rsidP="007226FC">
            <w:pPr>
              <w:pStyle w:val="Normal1"/>
              <w:numPr>
                <w:ilvl w:val="0"/>
                <w:numId w:val="30"/>
              </w:numPr>
              <w:spacing w:before="80" w:after="80" w:line="240" w:lineRule="auto"/>
              <w:contextualSpacing/>
              <w:rPr>
                <w:rFonts w:eastAsia="Times New Roman" w:cs="Aparajita"/>
                <w:snapToGrid w:val="0"/>
                <w:shd w:val="clear" w:color="auto" w:fill="FFFFFF"/>
              </w:rPr>
            </w:pPr>
            <w:r w:rsidRPr="00287D41">
              <w:rPr>
                <w:rFonts w:eastAsia="Times New Roman" w:cs="Aparajita"/>
                <w:snapToGrid w:val="0"/>
                <w:shd w:val="clear" w:color="auto" w:fill="FFFFFF"/>
              </w:rPr>
              <w:t xml:space="preserve">Have another person from the lab dial </w:t>
            </w:r>
            <w:r w:rsidRPr="00287D41">
              <w:rPr>
                <w:rFonts w:eastAsia="Times New Roman" w:cs="Aparajita"/>
                <w:b/>
                <w:snapToGrid w:val="0"/>
                <w:shd w:val="clear" w:color="auto" w:fill="FFFFFF"/>
              </w:rPr>
              <w:t xml:space="preserve">911 </w:t>
            </w:r>
            <w:r w:rsidRPr="00287D41">
              <w:rPr>
                <w:rFonts w:eastAsia="Times New Roman" w:cs="Aparajita"/>
                <w:snapToGrid w:val="0"/>
                <w:shd w:val="clear" w:color="auto" w:fill="FFFFFF"/>
              </w:rPr>
              <w:t xml:space="preserve">if intense skin irritation is observed and specifically mention </w:t>
            </w:r>
            <w:r>
              <w:rPr>
                <w:rFonts w:eastAsia="Times New Roman" w:cs="Aparajita"/>
                <w:snapToGrid w:val="0"/>
                <w:shd w:val="clear" w:color="auto" w:fill="FFFFFF"/>
              </w:rPr>
              <w:t xml:space="preserve">specific solvent/sodium/sodium hydride/caustic base </w:t>
            </w:r>
            <w:r w:rsidRPr="00287D41">
              <w:rPr>
                <w:rFonts w:eastAsia="Times New Roman" w:cs="Aparajita"/>
                <w:snapToGrid w:val="0"/>
                <w:shd w:val="clear" w:color="auto" w:fill="FFFFFF"/>
              </w:rPr>
              <w:t>exposure</w:t>
            </w:r>
            <w:r w:rsidR="009D496F">
              <w:rPr>
                <w:rFonts w:eastAsia="Times New Roman" w:cs="Aparajita"/>
                <w:snapToGrid w:val="0"/>
                <w:shd w:val="clear" w:color="auto" w:fill="FFFFFF"/>
              </w:rPr>
              <w:t>.</w:t>
            </w:r>
          </w:p>
          <w:p w14:paraId="2CDA2650" w14:textId="38C921F3" w:rsidR="00021CBD" w:rsidRPr="00021CBD" w:rsidRDefault="008A4F82" w:rsidP="007226FC">
            <w:pPr>
              <w:widowControl w:val="0"/>
              <w:spacing w:before="80" w:after="80" w:line="240" w:lineRule="auto"/>
              <w:contextualSpacing/>
              <w:rPr>
                <w:rFonts w:eastAsia="Times New Roman" w:cs="Aparajita"/>
                <w:snapToGrid w:val="0"/>
              </w:rPr>
            </w:pPr>
            <w:r w:rsidRPr="00D5698D">
              <w:rPr>
                <w:rFonts w:eastAsia="Times New Roman" w:cs="Aparajita"/>
                <w:b/>
                <w:snapToGrid w:val="0"/>
              </w:rPr>
              <w:t xml:space="preserve">Report any incident to the PI </w:t>
            </w:r>
            <w:r w:rsidRPr="00D5698D">
              <w:rPr>
                <w:rFonts w:eastAsia="Times New Roman" w:cs="Aparajita"/>
                <w:b/>
                <w:snapToGrid w:val="0"/>
                <w:u w:val="single"/>
              </w:rPr>
              <w:t>and</w:t>
            </w:r>
            <w:r w:rsidRPr="00D5698D">
              <w:rPr>
                <w:rFonts w:eastAsia="Times New Roman" w:cs="Aparajita"/>
                <w:b/>
                <w:snapToGrid w:val="0"/>
              </w:rPr>
              <w:t xml:space="preserve"> fill out the </w:t>
            </w:r>
            <w:hyperlink r:id="rId12" w:history="1">
              <w:r w:rsidRPr="00D5698D">
                <w:rPr>
                  <w:rStyle w:val="Hyperlink"/>
                  <w:rFonts w:eastAsia="Times New Roman" w:cs="Aparajita"/>
                  <w:b/>
                  <w:snapToGrid w:val="0"/>
                </w:rPr>
                <w:t>accident form</w:t>
              </w:r>
            </w:hyperlink>
          </w:p>
        </w:tc>
      </w:tr>
      <w:tr w:rsidR="00C76674" w:rsidRPr="00C85102" w14:paraId="334F06CA" w14:textId="77777777" w:rsidTr="009D496F">
        <w:trPr>
          <w:trHeight w:val="432"/>
          <w:jc w:val="center"/>
        </w:trPr>
        <w:tc>
          <w:tcPr>
            <w:tcW w:w="10784" w:type="dxa"/>
            <w:gridSpan w:val="2"/>
            <w:shd w:val="clear" w:color="auto" w:fill="000E2F"/>
            <w:vAlign w:val="center"/>
          </w:tcPr>
          <w:p w14:paraId="4188AC83" w14:textId="77777777" w:rsidR="00C76674" w:rsidRPr="00174A02" w:rsidRDefault="00174A02" w:rsidP="007226FC">
            <w:pPr>
              <w:pStyle w:val="Heading1"/>
              <w:keepNext w:val="0"/>
              <w:keepLines w:val="0"/>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9 – WASTE MANAGEMENT</w:t>
            </w:r>
          </w:p>
        </w:tc>
      </w:tr>
      <w:tr w:rsidR="00C76674" w:rsidRPr="00362737" w14:paraId="43CC3A77" w14:textId="77777777" w:rsidTr="009D496F">
        <w:trPr>
          <w:trHeight w:val="1790"/>
          <w:jc w:val="center"/>
        </w:trPr>
        <w:tc>
          <w:tcPr>
            <w:tcW w:w="10784" w:type="dxa"/>
            <w:gridSpan w:val="2"/>
            <w:shd w:val="clear" w:color="auto" w:fill="FFFFFF" w:themeFill="background1"/>
            <w:vAlign w:val="center"/>
          </w:tcPr>
          <w:p w14:paraId="344A2E55" w14:textId="1833B13F" w:rsidR="009206AE" w:rsidRPr="005402B0" w:rsidRDefault="009206AE" w:rsidP="007226FC">
            <w:pPr>
              <w:pStyle w:val="ListParagraph"/>
              <w:widowControl w:val="0"/>
              <w:numPr>
                <w:ilvl w:val="0"/>
                <w:numId w:val="7"/>
              </w:numPr>
              <w:spacing w:before="80" w:after="80" w:line="240" w:lineRule="auto"/>
              <w:rPr>
                <w:rFonts w:ascii="Calibri" w:eastAsia="Times New Roman" w:hAnsi="Calibri" w:cs="Aparajita"/>
                <w:snapToGrid w:val="0"/>
              </w:rPr>
            </w:pPr>
            <w:r>
              <w:rPr>
                <w:rFonts w:ascii="Calibri" w:eastAsia="Times New Roman" w:hAnsi="Calibri" w:cs="Aparajita"/>
                <w:snapToGrid w:val="0"/>
              </w:rPr>
              <w:t>Any solvents coming from the distillation pot without distillation must be quenched before being added to the waste containers</w:t>
            </w:r>
            <w:r w:rsidR="009D496F">
              <w:rPr>
                <w:rFonts w:ascii="Calibri" w:eastAsia="Times New Roman" w:hAnsi="Calibri" w:cs="Aparajita"/>
                <w:snapToGrid w:val="0"/>
              </w:rPr>
              <w:t>.</w:t>
            </w:r>
          </w:p>
          <w:p w14:paraId="5035D8EF" w14:textId="1674C198" w:rsidR="00913CD6" w:rsidRDefault="00913CD6" w:rsidP="007226FC">
            <w:pPr>
              <w:pStyle w:val="ListParagraph"/>
              <w:widowControl w:val="0"/>
              <w:numPr>
                <w:ilvl w:val="0"/>
                <w:numId w:val="7"/>
              </w:numPr>
              <w:spacing w:before="80" w:after="80" w:line="240" w:lineRule="auto"/>
              <w:rPr>
                <w:rFonts w:ascii="Calibri" w:eastAsia="Times New Roman" w:hAnsi="Calibri" w:cs="Aparajita"/>
                <w:snapToGrid w:val="0"/>
              </w:rPr>
            </w:pPr>
            <w:r w:rsidRPr="005402B0">
              <w:rPr>
                <w:rFonts w:ascii="Calibri" w:eastAsia="Times New Roman" w:hAnsi="Calibri" w:cs="Aparajita"/>
                <w:snapToGrid w:val="0"/>
              </w:rPr>
              <w:t>All waste must be labeled with “Hazardous Waste” stickers or tags, use full chemical names to describe the waste (i.e., no chemical abbreviations or symbols), be stored in sturdy containers with tight-fitting caps or lids, and be stored alone or with other compatible chemicals</w:t>
            </w:r>
            <w:r w:rsidR="009D496F">
              <w:rPr>
                <w:rFonts w:ascii="Calibri" w:eastAsia="Times New Roman" w:hAnsi="Calibri" w:cs="Aparajita"/>
                <w:snapToGrid w:val="0"/>
              </w:rPr>
              <w:t>.</w:t>
            </w:r>
          </w:p>
          <w:p w14:paraId="7AF5D3D3" w14:textId="79905D2A" w:rsidR="006B04B0" w:rsidRPr="007226FC" w:rsidRDefault="00913CD6" w:rsidP="007226FC">
            <w:pPr>
              <w:pStyle w:val="ListParagraph"/>
              <w:widowControl w:val="0"/>
              <w:numPr>
                <w:ilvl w:val="0"/>
                <w:numId w:val="7"/>
              </w:numPr>
              <w:spacing w:before="80" w:after="80" w:line="240" w:lineRule="auto"/>
              <w:rPr>
                <w:rFonts w:eastAsia="Times New Roman" w:cs="Aparajita"/>
                <w:snapToGrid w:val="0"/>
              </w:rPr>
            </w:pPr>
            <w:r w:rsidRPr="005402B0">
              <w:rPr>
                <w:rFonts w:ascii="Calibri" w:eastAsia="Times New Roman" w:hAnsi="Calibri" w:cs="Aparajita"/>
                <w:snapToGrid w:val="0"/>
              </w:rPr>
              <w:t xml:space="preserve">Hazardous wastes must be stored at or near a green “Satellite Accumulation Area” sign prior to disposal by EHS. Once the containers are 80% filled, fill our EH&amp;S chemical </w:t>
            </w:r>
            <w:hyperlink r:id="rId13" w:history="1">
              <w:r w:rsidRPr="005402B0">
                <w:rPr>
                  <w:rStyle w:val="Hyperlink"/>
                  <w:rFonts w:ascii="Calibri" w:eastAsia="Times New Roman" w:hAnsi="Calibri" w:cs="Aparajita"/>
                  <w:snapToGrid w:val="0"/>
                </w:rPr>
                <w:t>waste pickup form</w:t>
              </w:r>
            </w:hyperlink>
          </w:p>
        </w:tc>
      </w:tr>
      <w:tr w:rsidR="00C76674" w:rsidRPr="00C85102" w14:paraId="4C631550" w14:textId="77777777" w:rsidTr="009D496F">
        <w:trPr>
          <w:trHeight w:val="432"/>
          <w:jc w:val="center"/>
        </w:trPr>
        <w:tc>
          <w:tcPr>
            <w:tcW w:w="10784" w:type="dxa"/>
            <w:gridSpan w:val="2"/>
            <w:shd w:val="clear" w:color="auto" w:fill="000E2F"/>
            <w:vAlign w:val="center"/>
          </w:tcPr>
          <w:p w14:paraId="0CEBC7F7" w14:textId="77777777" w:rsidR="00C76674" w:rsidRPr="00174A02" w:rsidRDefault="00174A02" w:rsidP="007226FC">
            <w:pPr>
              <w:pStyle w:val="Heading1"/>
              <w:keepNext w:val="0"/>
              <w:keepLines w:val="0"/>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C76674" w:rsidRPr="00362737" w14:paraId="6EE0E39B" w14:textId="77777777" w:rsidTr="009D496F">
        <w:trPr>
          <w:trHeight w:val="432"/>
          <w:jc w:val="center"/>
        </w:trPr>
        <w:tc>
          <w:tcPr>
            <w:tcW w:w="10784" w:type="dxa"/>
            <w:gridSpan w:val="2"/>
            <w:shd w:val="clear" w:color="auto" w:fill="FFFFFF" w:themeFill="background1"/>
            <w:vAlign w:val="center"/>
          </w:tcPr>
          <w:p w14:paraId="10357BF3" w14:textId="53C5F52F" w:rsidR="0061794C" w:rsidRPr="009206AE" w:rsidRDefault="00084FB8" w:rsidP="007226FC">
            <w:pPr>
              <w:pStyle w:val="ListParagraph"/>
              <w:widowControl w:val="0"/>
              <w:numPr>
                <w:ilvl w:val="0"/>
                <w:numId w:val="7"/>
              </w:numPr>
              <w:spacing w:before="80" w:after="80" w:line="240" w:lineRule="auto"/>
              <w:rPr>
                <w:rFonts w:eastAsia="Times New Roman" w:cs="Aparajita"/>
                <w:snapToGrid w:val="0"/>
              </w:rPr>
            </w:pPr>
            <w:r>
              <w:rPr>
                <w:rFonts w:eastAsia="Times New Roman" w:cs="Aparajita"/>
                <w:snapToGrid w:val="0"/>
              </w:rPr>
              <w:t>Generally, all glassware can be cleaned with water/soap and acetone</w:t>
            </w:r>
          </w:p>
        </w:tc>
      </w:tr>
      <w:tr w:rsidR="00C76674" w:rsidRPr="00C85102" w14:paraId="4662F623" w14:textId="77777777" w:rsidTr="009D496F">
        <w:trPr>
          <w:trHeight w:val="432"/>
          <w:jc w:val="center"/>
        </w:trPr>
        <w:tc>
          <w:tcPr>
            <w:tcW w:w="10784" w:type="dxa"/>
            <w:gridSpan w:val="2"/>
            <w:shd w:val="clear" w:color="auto" w:fill="000E2F"/>
            <w:vAlign w:val="center"/>
          </w:tcPr>
          <w:p w14:paraId="44889257" w14:textId="1970AFC1" w:rsidR="00C76674" w:rsidRPr="00174A02" w:rsidRDefault="009206AE" w:rsidP="00C76674">
            <w:pPr>
              <w:pStyle w:val="Heading1"/>
              <w:spacing w:before="80" w:after="80"/>
              <w:rPr>
                <w:rFonts w:asciiTheme="minorHAnsi" w:hAnsiTheme="minorHAnsi"/>
                <w:b/>
                <w:sz w:val="24"/>
                <w:szCs w:val="24"/>
              </w:rPr>
            </w:pPr>
            <w:r>
              <w:lastRenderedPageBreak/>
              <w:br w:type="page"/>
            </w:r>
            <w:r w:rsidR="00174A02" w:rsidRPr="00174A02">
              <w:rPr>
                <w:rFonts w:asciiTheme="minorHAnsi" w:hAnsiTheme="minorHAnsi"/>
                <w:b/>
                <w:color w:val="FFFFFF" w:themeColor="background1"/>
                <w:sz w:val="24"/>
                <w:szCs w:val="24"/>
              </w:rPr>
              <w:t>SECTION 11 – SPECIFIC PROCEDURE</w:t>
            </w:r>
          </w:p>
        </w:tc>
      </w:tr>
      <w:tr w:rsidR="00C76674" w:rsidRPr="00362737" w14:paraId="7CC420B2" w14:textId="77777777" w:rsidTr="009D496F">
        <w:trPr>
          <w:trHeight w:val="432"/>
          <w:jc w:val="center"/>
        </w:trPr>
        <w:tc>
          <w:tcPr>
            <w:tcW w:w="10784" w:type="dxa"/>
            <w:gridSpan w:val="2"/>
            <w:shd w:val="clear" w:color="auto" w:fill="FFFFFF" w:themeFill="background1"/>
            <w:vAlign w:val="center"/>
          </w:tcPr>
          <w:p w14:paraId="18B7DAAE" w14:textId="321631C7" w:rsidR="00C05364" w:rsidRDefault="00C05364" w:rsidP="009206AE">
            <w:pPr>
              <w:widowControl w:val="0"/>
              <w:spacing w:before="80" w:after="80" w:line="240" w:lineRule="auto"/>
            </w:pPr>
            <w:r>
              <w:t>Solvents are distilled under a nitrogen atmosphere from a distillation flask containing metallic sodium</w:t>
            </w:r>
            <w:r w:rsidR="00084FB8">
              <w:t>/</w:t>
            </w:r>
            <w:r>
              <w:t>benzophenone</w:t>
            </w:r>
            <w:r w:rsidR="00084FB8">
              <w:t xml:space="preserve"> (for non-halogenated solvents) or sodium hydride (for halogenated solvents).</w:t>
            </w:r>
            <w:r>
              <w:t xml:space="preserve"> The refluxing solvent travels up the vacuum-insulated distillation column and condenses on the water-cooled condenser.  The distillate collects at the top of the column in the distillation trap.  The purified solvent is removed via syringe through the septum at the top or through the stopcock at the bottom of the distillation trap.   Each of the stills is connected in series by water lines for the condensers and nitrogen lines for the inert atmosphere.</w:t>
            </w:r>
          </w:p>
          <w:p w14:paraId="5B24819B" w14:textId="604D0439" w:rsidR="00C05364" w:rsidRDefault="00C05364" w:rsidP="009206AE">
            <w:pPr>
              <w:widowControl w:val="0"/>
              <w:spacing w:before="80" w:after="80" w:line="240" w:lineRule="auto"/>
              <w:rPr>
                <w:b/>
                <w:bCs/>
                <w:szCs w:val="20"/>
              </w:rPr>
            </w:pPr>
            <w:r>
              <w:rPr>
                <w:b/>
                <w:bCs/>
                <w:szCs w:val="20"/>
              </w:rPr>
              <w:t>Setting-Up Solvent Stills</w:t>
            </w:r>
          </w:p>
          <w:p w14:paraId="1789723A" w14:textId="668C09E8" w:rsidR="00C05364" w:rsidRPr="00F63A2A" w:rsidRDefault="00C05364" w:rsidP="009206AE">
            <w:pPr>
              <w:pStyle w:val="ListParagraph"/>
              <w:widowControl w:val="0"/>
              <w:numPr>
                <w:ilvl w:val="0"/>
                <w:numId w:val="17"/>
              </w:numPr>
              <w:spacing w:before="80" w:after="80" w:line="240" w:lineRule="auto"/>
              <w:rPr>
                <w:bCs/>
                <w:szCs w:val="20"/>
              </w:rPr>
            </w:pPr>
            <w:r w:rsidRPr="00F63A2A">
              <w:rPr>
                <w:bCs/>
                <w:szCs w:val="20"/>
              </w:rPr>
              <w:t xml:space="preserve">The still is cooled down to room </w:t>
            </w:r>
            <w:r w:rsidR="00F63A2A" w:rsidRPr="00F63A2A">
              <w:rPr>
                <w:bCs/>
                <w:szCs w:val="20"/>
              </w:rPr>
              <w:t>temperature</w:t>
            </w:r>
            <w:r w:rsidRPr="00F63A2A">
              <w:rPr>
                <w:bCs/>
                <w:szCs w:val="20"/>
              </w:rPr>
              <w:t xml:space="preserve">. Ensure the </w:t>
            </w:r>
            <w:r w:rsidR="009D496F">
              <w:rPr>
                <w:bCs/>
                <w:szCs w:val="20"/>
              </w:rPr>
              <w:t>heating mantle</w:t>
            </w:r>
            <w:r w:rsidRPr="00F63A2A">
              <w:rPr>
                <w:bCs/>
                <w:szCs w:val="20"/>
              </w:rPr>
              <w:t xml:space="preserve"> is turned off </w:t>
            </w:r>
          </w:p>
          <w:p w14:paraId="1CF11681" w14:textId="780B29F0" w:rsidR="00F63A2A" w:rsidRDefault="00F63A2A" w:rsidP="009206AE">
            <w:pPr>
              <w:pStyle w:val="ListParagraph"/>
              <w:numPr>
                <w:ilvl w:val="0"/>
                <w:numId w:val="1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before="80" w:after="80" w:line="240" w:lineRule="auto"/>
            </w:pPr>
            <w:r>
              <w:t xml:space="preserve">The solvent is poured into the round bottom flask which serves as the still pot to </w:t>
            </w:r>
            <w:r w:rsidR="00341EB9">
              <w:t>no more</w:t>
            </w:r>
            <w:r>
              <w:t xml:space="preserve"> than 2/3 of its capacity.</w:t>
            </w:r>
          </w:p>
          <w:p w14:paraId="5D59E7FA" w14:textId="55F0AF5D" w:rsidR="00C05364" w:rsidRDefault="00F63A2A" w:rsidP="009206AE">
            <w:pPr>
              <w:pStyle w:val="ListParagraph"/>
              <w:widowControl w:val="0"/>
              <w:numPr>
                <w:ilvl w:val="0"/>
                <w:numId w:val="17"/>
              </w:numPr>
              <w:spacing w:before="80" w:after="80" w:line="240" w:lineRule="auto"/>
            </w:pPr>
            <w:r>
              <w:t>Add reducing a</w:t>
            </w:r>
            <w:r w:rsidR="009D496F">
              <w:t>nd drying agents to the solvent.</w:t>
            </w:r>
          </w:p>
          <w:p w14:paraId="73D28298" w14:textId="05AC562B" w:rsidR="00F63A2A" w:rsidRDefault="00F63A2A" w:rsidP="009206AE">
            <w:pPr>
              <w:widowControl w:val="0"/>
              <w:spacing w:before="80" w:after="80" w:line="240" w:lineRule="auto"/>
              <w:rPr>
                <w:b/>
                <w:bCs/>
              </w:rPr>
            </w:pPr>
            <w:r>
              <w:rPr>
                <w:b/>
                <w:bCs/>
              </w:rPr>
              <w:t xml:space="preserve">Solvent </w:t>
            </w:r>
            <w:r w:rsidR="009D496F">
              <w:rPr>
                <w:b/>
                <w:bCs/>
              </w:rPr>
              <w:t>S</w:t>
            </w:r>
            <w:r>
              <w:rPr>
                <w:b/>
                <w:bCs/>
              </w:rPr>
              <w:t>till for Tetrahydrofuran</w:t>
            </w:r>
          </w:p>
          <w:p w14:paraId="482F0989" w14:textId="20EDAB91" w:rsidR="00F63A2A" w:rsidRDefault="00F63A2A" w:rsidP="009206AE">
            <w:pPr>
              <w:pStyle w:val="ListParagraph"/>
              <w:widowControl w:val="0"/>
              <w:numPr>
                <w:ilvl w:val="0"/>
                <w:numId w:val="18"/>
              </w:numPr>
              <w:spacing w:before="80" w:after="80" w:line="240" w:lineRule="auto"/>
            </w:pPr>
            <w:r>
              <w:t xml:space="preserve">In a fume hood, a small amount of metallic sodium is cut </w:t>
            </w:r>
            <w:r w:rsidR="009D496F">
              <w:t xml:space="preserve">with a small knife </w:t>
            </w:r>
            <w:r>
              <w:t xml:space="preserve">into small pieces </w:t>
            </w:r>
            <w:r w:rsidR="009D496F">
              <w:t xml:space="preserve">(gloves, dry surfaces, no aqueous solution open nearby), </w:t>
            </w:r>
            <w:r>
              <w:t>then the sodium is added to the solvent in the distillation flask.</w:t>
            </w:r>
          </w:p>
          <w:p w14:paraId="41DFD49F" w14:textId="0CFB0ED5" w:rsidR="00F63A2A" w:rsidRDefault="00F63A2A" w:rsidP="009206AE">
            <w:pPr>
              <w:pStyle w:val="ListParagraph"/>
              <w:widowControl w:val="0"/>
              <w:numPr>
                <w:ilvl w:val="0"/>
                <w:numId w:val="18"/>
              </w:numPr>
              <w:spacing w:before="80" w:after="80" w:line="240" w:lineRule="auto"/>
            </w:pPr>
            <w:r>
              <w:t xml:space="preserve">Add </w:t>
            </w:r>
            <w:r w:rsidR="009D496F">
              <w:t>~</w:t>
            </w:r>
            <w:r>
              <w:t>250 mg of benzophenone to the distillation flask, establish the inert atmosphere, and bring the solution to reflux for several hours to allow the sodium metal a chance to dry the solvent.  When dry, the solution will have a deep blue to blue-green color</w:t>
            </w:r>
            <w:r w:rsidR="009D496F">
              <w:t xml:space="preserve"> (of the benzophenone </w:t>
            </w:r>
            <w:proofErr w:type="spellStart"/>
            <w:r w:rsidR="009D496F">
              <w:t>ketyl</w:t>
            </w:r>
            <w:proofErr w:type="spellEnd"/>
            <w:r w:rsidR="009D496F">
              <w:t xml:space="preserve"> species)</w:t>
            </w:r>
            <w:r>
              <w:t>.</w:t>
            </w:r>
          </w:p>
          <w:p w14:paraId="5666F6A1" w14:textId="5435A6E3" w:rsidR="00F63A2A" w:rsidRDefault="00F63A2A" w:rsidP="009206AE">
            <w:pPr>
              <w:pStyle w:val="ListParagraph"/>
              <w:widowControl w:val="0"/>
              <w:numPr>
                <w:ilvl w:val="0"/>
                <w:numId w:val="18"/>
              </w:numPr>
              <w:spacing w:before="80" w:after="80" w:line="240" w:lineRule="auto"/>
            </w:pPr>
            <w:r>
              <w:t>If, after refluxing for several hours, the deep blue color does not develop, repeat previous two steps.</w:t>
            </w:r>
          </w:p>
          <w:p w14:paraId="295029FC" w14:textId="5D516A72" w:rsidR="00F63A2A" w:rsidRDefault="00F63A2A" w:rsidP="009206AE">
            <w:pPr>
              <w:pStyle w:val="ListParagraph"/>
              <w:widowControl w:val="0"/>
              <w:numPr>
                <w:ilvl w:val="0"/>
                <w:numId w:val="18"/>
              </w:numPr>
              <w:spacing w:before="80" w:after="80" w:line="240" w:lineRule="auto"/>
            </w:pPr>
            <w:r>
              <w:t>Tetrahydrofuran form peroxides. Do not distill without adding a reducing agent such as sodium.</w:t>
            </w:r>
          </w:p>
          <w:p w14:paraId="3A565124" w14:textId="13068DDC" w:rsidR="00F63A2A" w:rsidRDefault="00F63A2A" w:rsidP="00920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pPr>
            <w:r>
              <w:rPr>
                <w:b/>
                <w:bCs/>
              </w:rPr>
              <w:t>Solvent distill for Dichloromethane</w:t>
            </w:r>
          </w:p>
          <w:p w14:paraId="74B69DBE" w14:textId="0EC9FEAD" w:rsidR="00F63A2A" w:rsidRDefault="00F63A2A" w:rsidP="009206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outlineLvl w:val="0"/>
            </w:pPr>
            <w:r>
              <w:t xml:space="preserve">A small amount of calcium hydride is added and the solution is refluxed under a </w:t>
            </w:r>
            <w:r w:rsidR="00842010">
              <w:t>N</w:t>
            </w:r>
            <w:r w:rsidR="00842010" w:rsidRPr="00842010">
              <w:rPr>
                <w:vertAlign w:val="subscript"/>
              </w:rPr>
              <w:t>2</w:t>
            </w:r>
            <w:r>
              <w:t xml:space="preserve"> atmosphere</w:t>
            </w:r>
            <w:r w:rsidR="00842010">
              <w:t xml:space="preserve"> for 4+ hours</w:t>
            </w:r>
          </w:p>
          <w:p w14:paraId="1974AC11" w14:textId="37E880FD" w:rsidR="00F63A2A" w:rsidRDefault="00F63A2A" w:rsidP="00920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rPr>
                <w:b/>
                <w:bCs/>
                <w:szCs w:val="20"/>
              </w:rPr>
            </w:pPr>
            <w:r>
              <w:rPr>
                <w:b/>
                <w:bCs/>
                <w:szCs w:val="20"/>
              </w:rPr>
              <w:t>Maintenance and Inspections</w:t>
            </w:r>
          </w:p>
          <w:p w14:paraId="0F098BE9" w14:textId="7D7CE6F1" w:rsidR="00F63A2A" w:rsidRDefault="00F63A2A" w:rsidP="009206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outlineLvl w:val="0"/>
            </w:pPr>
            <w:r>
              <w:t>Check for the nitrogen flow at the bubble</w:t>
            </w:r>
            <w:r w:rsidR="003A7245">
              <w:t>r</w:t>
            </w:r>
            <w:r>
              <w:t xml:space="preserve"> and its level.</w:t>
            </w:r>
          </w:p>
          <w:p w14:paraId="63897298" w14:textId="792EE744" w:rsidR="00F63A2A" w:rsidRDefault="00F63A2A" w:rsidP="009206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outlineLvl w:val="0"/>
            </w:pPr>
            <w:r>
              <w:t>Check water lines and conditions for weak spots and leaks.</w:t>
            </w:r>
          </w:p>
          <w:p w14:paraId="176B0428" w14:textId="7F8B2E18" w:rsidR="00F63A2A" w:rsidRDefault="00F63A2A" w:rsidP="009206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outlineLvl w:val="0"/>
            </w:pPr>
            <w:r>
              <w:t>Check solvent level is at least 1/3 full.</w:t>
            </w:r>
          </w:p>
          <w:p w14:paraId="00B47BF3" w14:textId="41A427F4" w:rsidR="00F63A2A" w:rsidRPr="00F63A2A" w:rsidRDefault="00F63A2A" w:rsidP="00920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rPr>
                <w:b/>
              </w:rPr>
            </w:pPr>
            <w:r>
              <w:rPr>
                <w:b/>
              </w:rPr>
              <w:t xml:space="preserve">Cleaning </w:t>
            </w:r>
            <w:r w:rsidR="003A7245">
              <w:rPr>
                <w:b/>
                <w:bCs/>
              </w:rPr>
              <w:t>of the T</w:t>
            </w:r>
            <w:r>
              <w:rPr>
                <w:b/>
                <w:bCs/>
              </w:rPr>
              <w:t>etrahydrofura</w:t>
            </w:r>
            <w:r w:rsidR="003A7245">
              <w:rPr>
                <w:b/>
                <w:bCs/>
              </w:rPr>
              <w:t>n or Dichloromethan</w:t>
            </w:r>
            <w:r w:rsidR="009206AE">
              <w:rPr>
                <w:b/>
                <w:bCs/>
              </w:rPr>
              <w:t>e</w:t>
            </w:r>
            <w:r w:rsidR="003A7245">
              <w:rPr>
                <w:b/>
                <w:bCs/>
              </w:rPr>
              <w:t xml:space="preserve"> Still</w:t>
            </w:r>
          </w:p>
          <w:p w14:paraId="2703C57D" w14:textId="2F0BB608" w:rsidR="00F63A2A" w:rsidRDefault="00F63A2A" w:rsidP="009206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pPr>
            <w:r>
              <w:t>After the solvent has cooled to room temperature, the distillation flask is moved to a fume hood.</w:t>
            </w:r>
          </w:p>
          <w:p w14:paraId="56BC0654" w14:textId="1CB69353" w:rsidR="00F63A2A" w:rsidRDefault="00F63A2A" w:rsidP="009206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pPr>
            <w:r>
              <w:t>The residual solvent is carefully quenched with small amounts of 2-propanol added under a blanket of nitrogen over several hours</w:t>
            </w:r>
            <w:r w:rsidR="003A7245">
              <w:t xml:space="preserve"> and allowed to stand overnight, stir or swirl the mixture once in a while.</w:t>
            </w:r>
          </w:p>
          <w:p w14:paraId="064BB985" w14:textId="546C2AEC" w:rsidR="00F63A2A" w:rsidRDefault="00F63A2A" w:rsidP="009206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pPr>
            <w:r>
              <w:t>The residual solvent is then carefully quenched with small amounts of absolute methanol over several hours until all the sodium metal is destroyed.  Now carefully add excess water under nitrogen and p</w:t>
            </w:r>
            <w:r w:rsidR="003A7245">
              <w:t>roperly dispose of the contents in the appropriate waste solvent canisters (non-halogenated/halogenated).</w:t>
            </w:r>
          </w:p>
          <w:p w14:paraId="077648D9" w14:textId="39BA2870" w:rsidR="00EB263E" w:rsidRDefault="00EB263E" w:rsidP="00920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rPr>
                <w:b/>
              </w:rPr>
            </w:pPr>
            <w:r>
              <w:rPr>
                <w:b/>
              </w:rPr>
              <w:t xml:space="preserve">Testing for </w:t>
            </w:r>
            <w:r w:rsidR="003A7245">
              <w:rPr>
                <w:b/>
              </w:rPr>
              <w:t>P</w:t>
            </w:r>
            <w:r>
              <w:rPr>
                <w:b/>
              </w:rPr>
              <w:t>eroxides</w:t>
            </w:r>
            <w:r w:rsidR="003A7245">
              <w:rPr>
                <w:b/>
              </w:rPr>
              <w:t xml:space="preserve"> in THF</w:t>
            </w:r>
          </w:p>
          <w:p w14:paraId="28CAC4A2" w14:textId="1EF91FFB" w:rsidR="00DE5694" w:rsidRDefault="00DE5694" w:rsidP="009206AE">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pPr>
            <w:r>
              <w:t xml:space="preserve">In most safety literature, a conservative concentration of 100 </w:t>
            </w:r>
            <w:r w:rsidR="003A7245">
              <w:t>ppm</w:t>
            </w:r>
            <w:r>
              <w:t xml:space="preserve"> peroxides is used as a control point. All chemicals which are to be distilled must be tested prior to distillation regardless of age.</w:t>
            </w:r>
          </w:p>
          <w:p w14:paraId="1FE8A81F" w14:textId="04B44FDE" w:rsidR="00DE5694" w:rsidRDefault="00DE5694" w:rsidP="009206AE">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pPr>
            <w:r>
              <w:t xml:space="preserve">Several methods are commonly used to detect for peroxide in the laboratory. </w:t>
            </w:r>
            <w:r w:rsidR="00341EB9">
              <w:t>Perhaps</w:t>
            </w:r>
            <w:r>
              <w:t xml:space="preserve"> the most convenient method is use of peroxide test strips</w:t>
            </w:r>
            <w:r w:rsidR="003A7245">
              <w:t xml:space="preserve">, </w:t>
            </w:r>
            <w:r>
              <w:t>manufactured by Aldrich and s</w:t>
            </w:r>
            <w:r w:rsidR="003A7245">
              <w:t>everal</w:t>
            </w:r>
            <w:r>
              <w:t xml:space="preserve"> other suppl</w:t>
            </w:r>
            <w:r w:rsidR="003A7245">
              <w:t>iers</w:t>
            </w:r>
            <w:r>
              <w:t>.</w:t>
            </w:r>
          </w:p>
          <w:p w14:paraId="5D897115" w14:textId="64167F69" w:rsidR="00C05364" w:rsidRPr="00341EB9" w:rsidRDefault="00341EB9" w:rsidP="009206AE">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40" w:lineRule="auto"/>
            </w:pPr>
            <w:r>
              <w:t xml:space="preserve">For volatile organic chemicals, the test strip is immersed in the chemical for 1 </w:t>
            </w:r>
            <w:r w:rsidR="00680DF2">
              <w:t>second; then the tester breathe</w:t>
            </w:r>
            <w:r>
              <w:t>s slowly on the strip for 15-30 seconds</w:t>
            </w:r>
            <w:r w:rsidR="00680DF2">
              <w:t>,</w:t>
            </w:r>
            <w:r>
              <w:t xml:space="preserve"> or until </w:t>
            </w:r>
            <w:r w:rsidR="00680DF2">
              <w:t xml:space="preserve">the </w:t>
            </w:r>
            <w:r>
              <w:t xml:space="preserve">color stabilizes. The color is then compared </w:t>
            </w:r>
            <w:r w:rsidR="00680DF2">
              <w:t>to the</w:t>
            </w:r>
            <w:r>
              <w:t xml:space="preserve"> scale provide on the </w:t>
            </w:r>
            <w:r w:rsidR="00680DF2">
              <w:t>packaging</w:t>
            </w:r>
            <w:r>
              <w:t xml:space="preserve">. Strip that offer a 1-100 </w:t>
            </w:r>
            <w:r w:rsidR="00680DF2">
              <w:t>ppm</w:t>
            </w:r>
            <w:r>
              <w:t xml:space="preserve"> peroxide range are useful for determining if the material is below the control point of 100 </w:t>
            </w:r>
            <w:r w:rsidR="00680DF2">
              <w:t>ppm</w:t>
            </w:r>
            <w:r>
              <w:t>.</w:t>
            </w:r>
          </w:p>
        </w:tc>
      </w:tr>
    </w:tbl>
    <w:p w14:paraId="35535F7C" w14:textId="77777777" w:rsidR="009D496F" w:rsidRDefault="009D496F">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
        <w:gridCol w:w="6403"/>
        <w:gridCol w:w="2884"/>
        <w:gridCol w:w="1481"/>
        <w:gridCol w:w="16"/>
      </w:tblGrid>
      <w:tr w:rsidR="00C76674" w:rsidRPr="00C85102" w14:paraId="5123D0B1" w14:textId="77777777" w:rsidTr="00B13C4C">
        <w:trPr>
          <w:gridBefore w:val="1"/>
          <w:wBefore w:w="16" w:type="dxa"/>
          <w:trHeight w:val="432"/>
          <w:jc w:val="center"/>
        </w:trPr>
        <w:tc>
          <w:tcPr>
            <w:tcW w:w="10784" w:type="dxa"/>
            <w:gridSpan w:val="4"/>
            <w:shd w:val="clear" w:color="auto" w:fill="000E2F"/>
            <w:vAlign w:val="center"/>
          </w:tcPr>
          <w:p w14:paraId="7CC29D91" w14:textId="7D0EA16A" w:rsidR="00C76674" w:rsidRPr="00174A02" w:rsidRDefault="00AC441D" w:rsidP="00C85102">
            <w:pPr>
              <w:widowControl w:val="0"/>
              <w:spacing w:after="0" w:line="240" w:lineRule="auto"/>
              <w:rPr>
                <w:rFonts w:eastAsia="Times New Roman" w:cs="Aparajita"/>
                <w:snapToGrid w:val="0"/>
                <w:sz w:val="24"/>
                <w:szCs w:val="24"/>
              </w:rPr>
            </w:pPr>
            <w:r>
              <w:lastRenderedPageBreak/>
              <w:br w:type="page"/>
            </w:r>
            <w:r w:rsidR="00174A02" w:rsidRPr="00174A02">
              <w:rPr>
                <w:rFonts w:eastAsia="Times New Roman" w:cs="Aparajita"/>
                <w:b/>
                <w:snapToGrid w:val="0"/>
                <w:color w:val="FFFFFF" w:themeColor="background1"/>
                <w:sz w:val="24"/>
                <w:szCs w:val="24"/>
              </w:rPr>
              <w:t>SECTION 12A.     APPROVAL</w:t>
            </w:r>
          </w:p>
        </w:tc>
      </w:tr>
      <w:tr w:rsidR="00C76674" w:rsidRPr="00362737" w14:paraId="573A6605" w14:textId="77777777" w:rsidTr="00B13C4C">
        <w:trPr>
          <w:gridBefore w:val="1"/>
          <w:wBefore w:w="16" w:type="dxa"/>
          <w:trHeight w:val="432"/>
          <w:jc w:val="center"/>
        </w:trPr>
        <w:tc>
          <w:tcPr>
            <w:tcW w:w="10784" w:type="dxa"/>
            <w:gridSpan w:val="4"/>
            <w:shd w:val="clear" w:color="auto" w:fill="FFFFFF" w:themeFill="background1"/>
            <w:vAlign w:val="center"/>
          </w:tcPr>
          <w:p w14:paraId="6609EA71" w14:textId="60594FA6"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00680DF2">
              <w:rPr>
                <w:rFonts w:eastAsia="Times New Roman" w:cs="Aparajita"/>
                <w:snapToGrid w:val="0"/>
              </w:rPr>
              <w:t xml:space="preserve"> for the operation of the solvent still for THF</w:t>
            </w:r>
            <w:r w:rsidR="009D496F">
              <w:rPr>
                <w:rFonts w:eastAsia="Times New Roman" w:cs="Aparajita"/>
                <w:snapToGrid w:val="0"/>
              </w:rPr>
              <w:t>/Na</w:t>
            </w:r>
            <w:r w:rsidR="00680DF2">
              <w:rPr>
                <w:rFonts w:eastAsia="Times New Roman" w:cs="Aparajita"/>
                <w:snapToGrid w:val="0"/>
              </w:rPr>
              <w:t xml:space="preserve"> and CH</w:t>
            </w:r>
            <w:r w:rsidR="00680DF2" w:rsidRPr="00680DF2">
              <w:rPr>
                <w:rFonts w:eastAsia="Times New Roman" w:cs="Aparajita"/>
                <w:snapToGrid w:val="0"/>
                <w:vertAlign w:val="subscript"/>
              </w:rPr>
              <w:t>2</w:t>
            </w:r>
            <w:r w:rsidR="00680DF2">
              <w:rPr>
                <w:rFonts w:eastAsia="Times New Roman" w:cs="Aparajita"/>
                <w:snapToGrid w:val="0"/>
              </w:rPr>
              <w:t>Cl</w:t>
            </w:r>
            <w:r w:rsidR="00680DF2" w:rsidRPr="00680DF2">
              <w:rPr>
                <w:rFonts w:eastAsia="Times New Roman" w:cs="Aparajita"/>
                <w:snapToGrid w:val="0"/>
                <w:vertAlign w:val="subscript"/>
              </w:rPr>
              <w:t>2</w:t>
            </w:r>
            <w:r w:rsidR="009D496F">
              <w:rPr>
                <w:rFonts w:eastAsia="Times New Roman" w:cs="Aparajita"/>
                <w:snapToGrid w:val="0"/>
              </w:rPr>
              <w:t>/</w:t>
            </w:r>
            <w:proofErr w:type="spellStart"/>
            <w:r w:rsidR="009D496F">
              <w:rPr>
                <w:rFonts w:eastAsia="Times New Roman" w:cs="Aparajita"/>
                <w:snapToGrid w:val="0"/>
              </w:rPr>
              <w:t>NaH</w:t>
            </w:r>
            <w:proofErr w:type="spellEnd"/>
            <w:r w:rsidR="00680DF2">
              <w:rPr>
                <w:rFonts w:eastAsia="Times New Roman" w:cs="Aparajita"/>
                <w:i/>
                <w:snapToGrid w:val="0"/>
              </w:rPr>
              <w:t xml:space="preserve"> only</w:t>
            </w:r>
            <w:r w:rsidR="00680DF2">
              <w:rPr>
                <w:rFonts w:eastAsia="Times New Roman" w:cs="Aparajita"/>
                <w:snapToGrid w:val="0"/>
              </w:rPr>
              <w:t>.</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14"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5"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2573F095"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PI/Supervisor is required if any of the following events occur:</w:t>
            </w:r>
          </w:p>
          <w:p w14:paraId="6BE13D72"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3AFF3CE5"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temp, etc.)</w:t>
            </w:r>
          </w:p>
          <w:p w14:paraId="6CCFE80B"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7F05D971"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1E73B02D" w14:textId="77777777" w:rsidR="00C76674" w:rsidRPr="000570F1" w:rsidRDefault="0060252D" w:rsidP="00C85102">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sidR="00E51A8A">
              <w:rPr>
                <w:rFonts w:eastAsia="Times New Roman" w:cs="Aparajita"/>
              </w:rPr>
              <w:br/>
            </w:r>
          </w:p>
        </w:tc>
      </w:tr>
      <w:tr w:rsidR="002B1DB7" w:rsidRPr="00C85102" w14:paraId="336C0D7F" w14:textId="77777777" w:rsidTr="00B13C4C">
        <w:trPr>
          <w:gridBefore w:val="1"/>
          <w:wBefore w:w="16" w:type="dxa"/>
          <w:trHeight w:val="638"/>
          <w:jc w:val="center"/>
        </w:trPr>
        <w:tc>
          <w:tcPr>
            <w:tcW w:w="6403" w:type="dxa"/>
            <w:shd w:val="clear" w:color="auto" w:fill="D9D9D9" w:themeFill="background1" w:themeFillShade="D9"/>
            <w:vAlign w:val="center"/>
          </w:tcPr>
          <w:p w14:paraId="7668A614"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884" w:type="dxa"/>
            <w:shd w:val="clear" w:color="auto" w:fill="D9D9D9" w:themeFill="background1" w:themeFillShade="D9"/>
            <w:vAlign w:val="center"/>
          </w:tcPr>
          <w:p w14:paraId="27B84C6C"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497" w:type="dxa"/>
            <w:gridSpan w:val="2"/>
            <w:shd w:val="clear" w:color="auto" w:fill="D9D9D9" w:themeFill="background1" w:themeFillShade="D9"/>
            <w:vAlign w:val="center"/>
          </w:tcPr>
          <w:p w14:paraId="64588826"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2B1DB7" w:rsidRPr="00C85102" w14:paraId="385FD9B6" w14:textId="77777777" w:rsidTr="00B13C4C">
        <w:trPr>
          <w:gridBefore w:val="1"/>
          <w:wBefore w:w="16" w:type="dxa"/>
          <w:trHeight w:val="720"/>
          <w:jc w:val="center"/>
        </w:trPr>
        <w:tc>
          <w:tcPr>
            <w:tcW w:w="6403" w:type="dxa"/>
            <w:shd w:val="clear" w:color="auto" w:fill="FFFFFF" w:themeFill="background1"/>
            <w:vAlign w:val="center"/>
          </w:tcPr>
          <w:p w14:paraId="534E85FF"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06775EB5"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2C78FBC7" w14:textId="77777777" w:rsidR="002B1DB7" w:rsidRDefault="002B1DB7" w:rsidP="00C85102">
            <w:pPr>
              <w:widowControl w:val="0"/>
              <w:spacing w:after="0" w:line="240" w:lineRule="auto"/>
              <w:rPr>
                <w:rFonts w:eastAsia="Times New Roman" w:cs="Aparajita"/>
                <w:snapToGrid w:val="0"/>
              </w:rPr>
            </w:pPr>
          </w:p>
        </w:tc>
      </w:tr>
      <w:tr w:rsidR="002B1DB7" w:rsidRPr="00C85102" w14:paraId="5F10E771" w14:textId="77777777" w:rsidTr="00B13C4C">
        <w:trPr>
          <w:gridBefore w:val="1"/>
          <w:wBefore w:w="16" w:type="dxa"/>
          <w:trHeight w:val="720"/>
          <w:jc w:val="center"/>
        </w:trPr>
        <w:tc>
          <w:tcPr>
            <w:tcW w:w="6403" w:type="dxa"/>
            <w:shd w:val="clear" w:color="auto" w:fill="FFFFFF" w:themeFill="background1"/>
            <w:vAlign w:val="center"/>
          </w:tcPr>
          <w:p w14:paraId="502FDB7B"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5703D8A5"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499B1F69" w14:textId="77777777" w:rsidR="002B1DB7" w:rsidRDefault="002B1DB7" w:rsidP="00C85102">
            <w:pPr>
              <w:widowControl w:val="0"/>
              <w:spacing w:after="0" w:line="240" w:lineRule="auto"/>
              <w:rPr>
                <w:rFonts w:eastAsia="Times New Roman" w:cs="Aparajita"/>
                <w:snapToGrid w:val="0"/>
              </w:rPr>
            </w:pPr>
          </w:p>
        </w:tc>
      </w:tr>
      <w:tr w:rsidR="002B1DB7" w:rsidRPr="00C85102" w14:paraId="412536A6" w14:textId="77777777" w:rsidTr="00B13C4C">
        <w:trPr>
          <w:gridBefore w:val="1"/>
          <w:wBefore w:w="16" w:type="dxa"/>
          <w:trHeight w:val="720"/>
          <w:jc w:val="center"/>
        </w:trPr>
        <w:tc>
          <w:tcPr>
            <w:tcW w:w="6403" w:type="dxa"/>
            <w:shd w:val="clear" w:color="auto" w:fill="FFFFFF" w:themeFill="background1"/>
            <w:vAlign w:val="center"/>
          </w:tcPr>
          <w:p w14:paraId="268BD443"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5D5ACBA1"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7F42CFA7" w14:textId="77777777" w:rsidR="002B1DB7" w:rsidRDefault="002B1DB7" w:rsidP="00C85102">
            <w:pPr>
              <w:widowControl w:val="0"/>
              <w:spacing w:after="0" w:line="240" w:lineRule="auto"/>
              <w:rPr>
                <w:rFonts w:eastAsia="Times New Roman" w:cs="Aparajita"/>
                <w:snapToGrid w:val="0"/>
              </w:rPr>
            </w:pPr>
          </w:p>
        </w:tc>
      </w:tr>
      <w:tr w:rsidR="002B1DB7" w:rsidRPr="00C85102" w14:paraId="405D19F7" w14:textId="77777777" w:rsidTr="00B13C4C">
        <w:trPr>
          <w:gridBefore w:val="1"/>
          <w:wBefore w:w="16" w:type="dxa"/>
          <w:trHeight w:val="720"/>
          <w:jc w:val="center"/>
        </w:trPr>
        <w:tc>
          <w:tcPr>
            <w:tcW w:w="6403" w:type="dxa"/>
            <w:shd w:val="clear" w:color="auto" w:fill="FFFFFF" w:themeFill="background1"/>
            <w:vAlign w:val="center"/>
          </w:tcPr>
          <w:p w14:paraId="4BAE573F"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7A55D6A9"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4A191C3D" w14:textId="77777777" w:rsidR="002B1DB7" w:rsidRDefault="002B1DB7" w:rsidP="00C85102">
            <w:pPr>
              <w:widowControl w:val="0"/>
              <w:spacing w:after="0" w:line="240" w:lineRule="auto"/>
              <w:rPr>
                <w:rFonts w:eastAsia="Times New Roman" w:cs="Aparajita"/>
                <w:snapToGrid w:val="0"/>
              </w:rPr>
            </w:pPr>
          </w:p>
        </w:tc>
      </w:tr>
      <w:tr w:rsidR="002B1DB7" w:rsidRPr="00C85102" w14:paraId="5DD58FBB" w14:textId="77777777" w:rsidTr="00B13C4C">
        <w:trPr>
          <w:gridBefore w:val="1"/>
          <w:wBefore w:w="16" w:type="dxa"/>
          <w:trHeight w:val="720"/>
          <w:jc w:val="center"/>
        </w:trPr>
        <w:tc>
          <w:tcPr>
            <w:tcW w:w="6403" w:type="dxa"/>
            <w:shd w:val="clear" w:color="auto" w:fill="FFFFFF" w:themeFill="background1"/>
            <w:vAlign w:val="center"/>
          </w:tcPr>
          <w:p w14:paraId="4EB9EF59"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4E200245"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3D040235" w14:textId="77777777" w:rsidR="002B1DB7" w:rsidRDefault="002B1DB7" w:rsidP="00C85102">
            <w:pPr>
              <w:widowControl w:val="0"/>
              <w:spacing w:after="0" w:line="240" w:lineRule="auto"/>
              <w:rPr>
                <w:rFonts w:eastAsia="Times New Roman" w:cs="Aparajita"/>
                <w:snapToGrid w:val="0"/>
              </w:rPr>
            </w:pPr>
          </w:p>
        </w:tc>
      </w:tr>
      <w:tr w:rsidR="002B1DB7" w:rsidRPr="00C85102" w14:paraId="406A15B0" w14:textId="77777777" w:rsidTr="00B13C4C">
        <w:trPr>
          <w:gridBefore w:val="1"/>
          <w:wBefore w:w="16" w:type="dxa"/>
          <w:trHeight w:val="720"/>
          <w:jc w:val="center"/>
        </w:trPr>
        <w:tc>
          <w:tcPr>
            <w:tcW w:w="6403" w:type="dxa"/>
            <w:shd w:val="clear" w:color="auto" w:fill="FFFFFF" w:themeFill="background1"/>
            <w:vAlign w:val="center"/>
          </w:tcPr>
          <w:p w14:paraId="64F7E906"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15B38132"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227011DD" w14:textId="77777777" w:rsidR="002B1DB7" w:rsidRDefault="002B1DB7" w:rsidP="00C85102">
            <w:pPr>
              <w:widowControl w:val="0"/>
              <w:spacing w:after="0" w:line="240" w:lineRule="auto"/>
              <w:rPr>
                <w:rFonts w:eastAsia="Times New Roman" w:cs="Aparajita"/>
                <w:snapToGrid w:val="0"/>
              </w:rPr>
            </w:pPr>
          </w:p>
        </w:tc>
      </w:tr>
      <w:tr w:rsidR="002B1DB7" w:rsidRPr="00C85102" w14:paraId="4A7F2FCF" w14:textId="77777777" w:rsidTr="00B13C4C">
        <w:trPr>
          <w:gridBefore w:val="1"/>
          <w:wBefore w:w="16" w:type="dxa"/>
          <w:trHeight w:val="720"/>
          <w:jc w:val="center"/>
        </w:trPr>
        <w:tc>
          <w:tcPr>
            <w:tcW w:w="6403" w:type="dxa"/>
            <w:shd w:val="clear" w:color="auto" w:fill="FFFFFF" w:themeFill="background1"/>
            <w:vAlign w:val="center"/>
          </w:tcPr>
          <w:p w14:paraId="40CEE8F0"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5CCB1D85"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77386B74" w14:textId="77777777" w:rsidR="002B1DB7" w:rsidRDefault="002B1DB7" w:rsidP="00C85102">
            <w:pPr>
              <w:widowControl w:val="0"/>
              <w:spacing w:after="0" w:line="240" w:lineRule="auto"/>
              <w:rPr>
                <w:rFonts w:eastAsia="Times New Roman" w:cs="Aparajita"/>
                <w:snapToGrid w:val="0"/>
              </w:rPr>
            </w:pPr>
          </w:p>
        </w:tc>
      </w:tr>
      <w:tr w:rsidR="002B1DB7" w:rsidRPr="00C85102" w14:paraId="30CA837A" w14:textId="77777777" w:rsidTr="00B13C4C">
        <w:trPr>
          <w:gridBefore w:val="1"/>
          <w:wBefore w:w="16" w:type="dxa"/>
          <w:trHeight w:val="720"/>
          <w:jc w:val="center"/>
        </w:trPr>
        <w:tc>
          <w:tcPr>
            <w:tcW w:w="6403" w:type="dxa"/>
            <w:shd w:val="clear" w:color="auto" w:fill="FFFFFF" w:themeFill="background1"/>
            <w:vAlign w:val="center"/>
          </w:tcPr>
          <w:p w14:paraId="0C59FCFB" w14:textId="77777777" w:rsidR="002B1DB7" w:rsidRDefault="002B1DB7" w:rsidP="00C85102">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734AE86C" w14:textId="77777777" w:rsidR="002B1DB7" w:rsidRDefault="002B1DB7" w:rsidP="00C85102">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1BC35CC4" w14:textId="77777777" w:rsidR="002B1DB7" w:rsidRDefault="002B1DB7" w:rsidP="00C85102">
            <w:pPr>
              <w:widowControl w:val="0"/>
              <w:spacing w:after="0" w:line="240" w:lineRule="auto"/>
              <w:rPr>
                <w:rFonts w:eastAsia="Times New Roman" w:cs="Aparajita"/>
                <w:snapToGrid w:val="0"/>
              </w:rPr>
            </w:pPr>
          </w:p>
        </w:tc>
      </w:tr>
      <w:tr w:rsidR="0060252D" w:rsidRPr="00C85102" w14:paraId="1FC4F27F" w14:textId="77777777" w:rsidTr="00B13C4C">
        <w:trPr>
          <w:gridBefore w:val="1"/>
          <w:wBefore w:w="16" w:type="dxa"/>
          <w:trHeight w:val="432"/>
          <w:jc w:val="center"/>
        </w:trPr>
        <w:tc>
          <w:tcPr>
            <w:tcW w:w="10784" w:type="dxa"/>
            <w:gridSpan w:val="4"/>
            <w:shd w:val="clear" w:color="auto" w:fill="000E2F"/>
            <w:vAlign w:val="center"/>
          </w:tcPr>
          <w:p w14:paraId="6422A29B"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1393945F" w14:textId="77777777" w:rsidTr="00B13C4C">
        <w:trPr>
          <w:gridAfter w:val="1"/>
          <w:wAfter w:w="16" w:type="dxa"/>
          <w:trHeight w:val="432"/>
          <w:jc w:val="center"/>
        </w:trPr>
        <w:tc>
          <w:tcPr>
            <w:tcW w:w="10784" w:type="dxa"/>
            <w:gridSpan w:val="4"/>
            <w:shd w:val="clear" w:color="auto" w:fill="FFFFFF" w:themeFill="background1"/>
            <w:vAlign w:val="center"/>
          </w:tcPr>
          <w:p w14:paraId="6197B1F9"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4A0961" w:rsidRPr="00113202" w14:paraId="508F7EC2" w14:textId="77777777" w:rsidTr="00B13C4C">
        <w:trPr>
          <w:gridAfter w:val="1"/>
          <w:wAfter w:w="16" w:type="dxa"/>
          <w:trHeight w:val="827"/>
          <w:jc w:val="center"/>
        </w:trPr>
        <w:tc>
          <w:tcPr>
            <w:tcW w:w="9303" w:type="dxa"/>
            <w:gridSpan w:val="3"/>
            <w:shd w:val="clear" w:color="auto" w:fill="FFFFFF" w:themeFill="background1"/>
          </w:tcPr>
          <w:p w14:paraId="1FAFBE1B"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481" w:type="dxa"/>
            <w:shd w:val="clear" w:color="auto" w:fill="FFFFFF" w:themeFill="background1"/>
          </w:tcPr>
          <w:p w14:paraId="341CD120"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65229E10" w14:textId="77777777" w:rsidTr="00B13C4C">
        <w:trPr>
          <w:gridAfter w:val="1"/>
          <w:wAfter w:w="16" w:type="dxa"/>
          <w:trHeight w:val="432"/>
          <w:jc w:val="center"/>
        </w:trPr>
        <w:tc>
          <w:tcPr>
            <w:tcW w:w="10784" w:type="dxa"/>
            <w:gridSpan w:val="4"/>
            <w:shd w:val="clear" w:color="auto" w:fill="000E2F"/>
            <w:vAlign w:val="center"/>
          </w:tcPr>
          <w:p w14:paraId="2BFEB2EB"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7C16AA98" w14:textId="77777777" w:rsidR="00A274E1" w:rsidRPr="002B1DB7" w:rsidRDefault="00A274E1" w:rsidP="002B1DB7">
      <w:pPr>
        <w:pStyle w:val="Heading1"/>
        <w:keepNext w:val="0"/>
        <w:keepLines w:val="0"/>
        <w:rPr>
          <w:rStyle w:val="A5"/>
          <w:rFonts w:cstheme="majorBidi"/>
          <w:color w:val="2E74B5" w:themeColor="accent1" w:themeShade="BF"/>
        </w:rPr>
      </w:pPr>
    </w:p>
    <w:sectPr w:rsidR="00A274E1" w:rsidRPr="002B1DB7" w:rsidSect="002B1DB7">
      <w:headerReference w:type="default" r:id="rId16"/>
      <w:footerReference w:type="default" r:id="rId17"/>
      <w:headerReference w:type="first" r:id="rId18"/>
      <w:footerReference w:type="first" r:id="rId19"/>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8F48" w14:textId="77777777" w:rsidR="00BA650E" w:rsidRDefault="00BA650E" w:rsidP="00F47BA4">
      <w:pPr>
        <w:spacing w:after="0" w:line="240" w:lineRule="auto"/>
      </w:pPr>
      <w:r>
        <w:separator/>
      </w:r>
    </w:p>
  </w:endnote>
  <w:endnote w:type="continuationSeparator" w:id="0">
    <w:p w14:paraId="6059B3E3" w14:textId="77777777" w:rsidR="00BA650E" w:rsidRDefault="00BA650E"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4A359A52" w14:textId="04964C43" w:rsidR="007226FC" w:rsidRPr="008A4F82" w:rsidRDefault="007226FC" w:rsidP="008A4F82">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A44291">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A44291">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3F1C82D7" w14:textId="5044F265" w:rsidR="007226FC" w:rsidRPr="00E9777D" w:rsidRDefault="007226FC" w:rsidP="00E9777D">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A44291">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A44291">
                  <w:rPr>
                    <w:bCs/>
                    <w:noProof/>
                    <w:sz w:val="20"/>
                    <w:szCs w:val="20"/>
                  </w:rPr>
                  <w:t>4</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0635" w14:textId="77777777" w:rsidR="00BA650E" w:rsidRDefault="00BA650E" w:rsidP="00F47BA4">
      <w:pPr>
        <w:spacing w:after="0" w:line="240" w:lineRule="auto"/>
      </w:pPr>
      <w:r>
        <w:separator/>
      </w:r>
    </w:p>
  </w:footnote>
  <w:footnote w:type="continuationSeparator" w:id="0">
    <w:p w14:paraId="4F3FA43F" w14:textId="77777777" w:rsidR="00BA650E" w:rsidRDefault="00BA650E"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6AD" w14:textId="77777777" w:rsidR="007226FC" w:rsidRPr="00F47BA4" w:rsidRDefault="007226FC"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E1AB" w14:textId="6FD1227B" w:rsidR="007226FC" w:rsidRPr="00B13C4C" w:rsidRDefault="007226FC" w:rsidP="00B13C4C">
    <w:pPr>
      <w:tabs>
        <w:tab w:val="center" w:pos="4680"/>
        <w:tab w:val="right" w:pos="9360"/>
      </w:tabs>
      <w:spacing w:after="0" w:line="240" w:lineRule="auto"/>
      <w:ind w:left="-576"/>
    </w:pPr>
    <w:r w:rsidRPr="00630E7B">
      <w:rPr>
        <w:noProof/>
      </w:rPr>
      <mc:AlternateContent>
        <mc:Choice Requires="wps">
          <w:drawing>
            <wp:anchor distT="0" distB="0" distL="114300" distR="114300" simplePos="0" relativeHeight="251659264" behindDoc="0" locked="0" layoutInCell="1" allowOverlap="1" wp14:anchorId="357B2E08" wp14:editId="51A1C5AB">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5D344FF2" w14:textId="77777777" w:rsidR="007226FC" w:rsidRPr="00BF4C67" w:rsidRDefault="007226FC"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3AEBD28D" w14:textId="77777777" w:rsidR="007226FC" w:rsidRPr="00630E7B" w:rsidRDefault="007226FC"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7B2E08" id="_x0000_t202" coordsize="21600,21600" o:spt="202" path="m,l,21600r21600,l21600,xe">
              <v:stroke joinstyle="miter"/>
              <v:path gradientshapeok="t" o:connecttype="rect"/>
            </v:shapetype>
            <v:shape id="Text Box 6" o:spid="_x0000_s1026" type="#_x0000_t202" style="position:absolute;left:0;text-align:left;margin-left:228pt;margin-top:-5.4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" fillcolor="window" stroked="f" strokeweight=".5pt">
              <v:textbox>
                <w:txbxContent>
                  <w:p w14:paraId="5D344FF2" w14:textId="77777777" w:rsidR="007226FC" w:rsidRPr="00BF4C67" w:rsidRDefault="007226FC"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3AEBD28D" w14:textId="77777777" w:rsidR="007226FC" w:rsidRPr="00630E7B" w:rsidRDefault="007226FC"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46290604" wp14:editId="2ED89993">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13C4C">
      <w:tab/>
    </w:r>
    <w:r w:rsidR="00B13C4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AFA"/>
    <w:multiLevelType w:val="hybridMultilevel"/>
    <w:tmpl w:val="D632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C4199"/>
    <w:multiLevelType w:val="hybridMultilevel"/>
    <w:tmpl w:val="B28C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045A5"/>
    <w:multiLevelType w:val="hybridMultilevel"/>
    <w:tmpl w:val="2CA6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DCB"/>
    <w:multiLevelType w:val="hybridMultilevel"/>
    <w:tmpl w:val="3D6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288E"/>
    <w:multiLevelType w:val="multilevel"/>
    <w:tmpl w:val="F780A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60491"/>
    <w:multiLevelType w:val="hybridMultilevel"/>
    <w:tmpl w:val="B4A6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442"/>
    <w:multiLevelType w:val="hybridMultilevel"/>
    <w:tmpl w:val="1E5C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95944"/>
    <w:multiLevelType w:val="hybridMultilevel"/>
    <w:tmpl w:val="99E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D2A50"/>
    <w:multiLevelType w:val="hybridMultilevel"/>
    <w:tmpl w:val="09788F82"/>
    <w:lvl w:ilvl="0" w:tplc="A7362F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FA3FE7"/>
    <w:multiLevelType w:val="hybridMultilevel"/>
    <w:tmpl w:val="610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F6B18"/>
    <w:multiLevelType w:val="multilevel"/>
    <w:tmpl w:val="AB7A0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AB74F9"/>
    <w:multiLevelType w:val="hybridMultilevel"/>
    <w:tmpl w:val="8FDC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058C9"/>
    <w:multiLevelType w:val="multilevel"/>
    <w:tmpl w:val="D7520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3273EE"/>
    <w:multiLevelType w:val="hybridMultilevel"/>
    <w:tmpl w:val="71D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520B1"/>
    <w:multiLevelType w:val="hybridMultilevel"/>
    <w:tmpl w:val="DA882318"/>
    <w:lvl w:ilvl="0" w:tplc="CE285DA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E285DA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F00D7A"/>
    <w:multiLevelType w:val="hybridMultilevel"/>
    <w:tmpl w:val="676C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75412"/>
    <w:multiLevelType w:val="hybridMultilevel"/>
    <w:tmpl w:val="FEB2939C"/>
    <w:lvl w:ilvl="0" w:tplc="04090015">
      <w:start w:val="1"/>
      <w:numFmt w:val="upperLetter"/>
      <w:lvlText w:val="%1."/>
      <w:lvlJc w:val="left"/>
      <w:pPr>
        <w:tabs>
          <w:tab w:val="num" w:pos="1080"/>
        </w:tabs>
        <w:ind w:left="1080" w:hanging="360"/>
      </w:pPr>
    </w:lvl>
    <w:lvl w:ilvl="1" w:tplc="A7362FD0">
      <w:start w:val="1"/>
      <w:numFmt w:val="decimal"/>
      <w:lvlText w:val="%2."/>
      <w:lvlJc w:val="left"/>
      <w:pPr>
        <w:tabs>
          <w:tab w:val="num" w:pos="1800"/>
        </w:tabs>
        <w:ind w:left="1800" w:hanging="360"/>
      </w:pPr>
      <w:rPr>
        <w:rFonts w:hint="default"/>
      </w:rPr>
    </w:lvl>
    <w:lvl w:ilvl="2" w:tplc="04090015">
      <w:start w:val="1"/>
      <w:numFmt w:val="upperLetter"/>
      <w:lvlText w:val="%3."/>
      <w:lvlJc w:val="left"/>
      <w:pPr>
        <w:tabs>
          <w:tab w:val="num" w:pos="1080"/>
        </w:tabs>
        <w:ind w:left="108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F63455"/>
    <w:multiLevelType w:val="multilevel"/>
    <w:tmpl w:val="D322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BE1A3F"/>
    <w:multiLevelType w:val="hybridMultilevel"/>
    <w:tmpl w:val="4B5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C4982"/>
    <w:multiLevelType w:val="hybridMultilevel"/>
    <w:tmpl w:val="9E8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563A8"/>
    <w:multiLevelType w:val="hybridMultilevel"/>
    <w:tmpl w:val="D01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62381A"/>
    <w:multiLevelType w:val="hybridMultilevel"/>
    <w:tmpl w:val="151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2629B"/>
    <w:multiLevelType w:val="hybridMultilevel"/>
    <w:tmpl w:val="E4F2D718"/>
    <w:lvl w:ilvl="0" w:tplc="F9EC6C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C039D7"/>
    <w:multiLevelType w:val="multilevel"/>
    <w:tmpl w:val="6E621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6D5497"/>
    <w:multiLevelType w:val="hybridMultilevel"/>
    <w:tmpl w:val="A0241B30"/>
    <w:lvl w:ilvl="0" w:tplc="C29C4B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84736C"/>
    <w:multiLevelType w:val="hybridMultilevel"/>
    <w:tmpl w:val="A23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25B4E"/>
    <w:multiLevelType w:val="hybridMultilevel"/>
    <w:tmpl w:val="123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1"/>
  </w:num>
  <w:num w:numId="5">
    <w:abstractNumId w:val="4"/>
  </w:num>
  <w:num w:numId="6">
    <w:abstractNumId w:val="25"/>
  </w:num>
  <w:num w:numId="7">
    <w:abstractNumId w:val="7"/>
  </w:num>
  <w:num w:numId="8">
    <w:abstractNumId w:val="22"/>
  </w:num>
  <w:num w:numId="9">
    <w:abstractNumId w:val="19"/>
  </w:num>
  <w:num w:numId="10">
    <w:abstractNumId w:val="27"/>
  </w:num>
  <w:num w:numId="11">
    <w:abstractNumId w:val="12"/>
  </w:num>
  <w:num w:numId="12">
    <w:abstractNumId w:val="6"/>
  </w:num>
  <w:num w:numId="13">
    <w:abstractNumId w:val="15"/>
  </w:num>
  <w:num w:numId="14">
    <w:abstractNumId w:val="23"/>
  </w:num>
  <w:num w:numId="15">
    <w:abstractNumId w:val="20"/>
  </w:num>
  <w:num w:numId="16">
    <w:abstractNumId w:val="18"/>
  </w:num>
  <w:num w:numId="17">
    <w:abstractNumId w:val="24"/>
  </w:num>
  <w:num w:numId="18">
    <w:abstractNumId w:val="1"/>
  </w:num>
  <w:num w:numId="19">
    <w:abstractNumId w:val="3"/>
  </w:num>
  <w:num w:numId="20">
    <w:abstractNumId w:val="32"/>
  </w:num>
  <w:num w:numId="21">
    <w:abstractNumId w:val="33"/>
  </w:num>
  <w:num w:numId="22">
    <w:abstractNumId w:val="28"/>
  </w:num>
  <w:num w:numId="23">
    <w:abstractNumId w:val="11"/>
  </w:num>
  <w:num w:numId="24">
    <w:abstractNumId w:val="30"/>
  </w:num>
  <w:num w:numId="25">
    <w:abstractNumId w:val="2"/>
  </w:num>
  <w:num w:numId="26">
    <w:abstractNumId w:val="17"/>
  </w:num>
  <w:num w:numId="27">
    <w:abstractNumId w:val="0"/>
  </w:num>
  <w:num w:numId="28">
    <w:abstractNumId w:val="5"/>
  </w:num>
  <w:num w:numId="29">
    <w:abstractNumId w:val="14"/>
  </w:num>
  <w:num w:numId="30">
    <w:abstractNumId w:val="29"/>
  </w:num>
  <w:num w:numId="31">
    <w:abstractNumId w:val="13"/>
  </w:num>
  <w:num w:numId="32">
    <w:abstractNumId w:val="26"/>
  </w:num>
  <w:num w:numId="33">
    <w:abstractNumId w:val="8"/>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CA7E35"/>
    <w:rsid w:val="0000125A"/>
    <w:rsid w:val="000045BC"/>
    <w:rsid w:val="00012B2D"/>
    <w:rsid w:val="00021CBD"/>
    <w:rsid w:val="00035807"/>
    <w:rsid w:val="00042267"/>
    <w:rsid w:val="000570F1"/>
    <w:rsid w:val="000630A4"/>
    <w:rsid w:val="0006378C"/>
    <w:rsid w:val="00084FB8"/>
    <w:rsid w:val="00093F40"/>
    <w:rsid w:val="00105131"/>
    <w:rsid w:val="00113202"/>
    <w:rsid w:val="0011390D"/>
    <w:rsid w:val="001544E7"/>
    <w:rsid w:val="001711BA"/>
    <w:rsid w:val="00174A02"/>
    <w:rsid w:val="0018010E"/>
    <w:rsid w:val="00181E6C"/>
    <w:rsid w:val="00190254"/>
    <w:rsid w:val="001A013D"/>
    <w:rsid w:val="001A6E79"/>
    <w:rsid w:val="001C59EE"/>
    <w:rsid w:val="001D6E7A"/>
    <w:rsid w:val="00202ED1"/>
    <w:rsid w:val="00203D89"/>
    <w:rsid w:val="002111F0"/>
    <w:rsid w:val="00230C36"/>
    <w:rsid w:val="00241FD1"/>
    <w:rsid w:val="002521BB"/>
    <w:rsid w:val="002561C3"/>
    <w:rsid w:val="00287D41"/>
    <w:rsid w:val="002A6079"/>
    <w:rsid w:val="002B1DB7"/>
    <w:rsid w:val="00302DE4"/>
    <w:rsid w:val="00341EB9"/>
    <w:rsid w:val="00357045"/>
    <w:rsid w:val="003603B7"/>
    <w:rsid w:val="00362737"/>
    <w:rsid w:val="00370010"/>
    <w:rsid w:val="00372EFD"/>
    <w:rsid w:val="00391962"/>
    <w:rsid w:val="003A7245"/>
    <w:rsid w:val="003D35EC"/>
    <w:rsid w:val="003D78C0"/>
    <w:rsid w:val="004074D6"/>
    <w:rsid w:val="00417B69"/>
    <w:rsid w:val="00427210"/>
    <w:rsid w:val="0043726E"/>
    <w:rsid w:val="00454B4E"/>
    <w:rsid w:val="00456C66"/>
    <w:rsid w:val="00461004"/>
    <w:rsid w:val="004612AF"/>
    <w:rsid w:val="00466E18"/>
    <w:rsid w:val="00481C75"/>
    <w:rsid w:val="00482C81"/>
    <w:rsid w:val="004A0961"/>
    <w:rsid w:val="004D48FE"/>
    <w:rsid w:val="004D7938"/>
    <w:rsid w:val="004F7A77"/>
    <w:rsid w:val="00510912"/>
    <w:rsid w:val="00512C43"/>
    <w:rsid w:val="00517B30"/>
    <w:rsid w:val="005357CE"/>
    <w:rsid w:val="00572E92"/>
    <w:rsid w:val="0059412C"/>
    <w:rsid w:val="00595E1A"/>
    <w:rsid w:val="005A63AD"/>
    <w:rsid w:val="005A7FCC"/>
    <w:rsid w:val="005B4023"/>
    <w:rsid w:val="005B5F6D"/>
    <w:rsid w:val="005E3637"/>
    <w:rsid w:val="0060252D"/>
    <w:rsid w:val="00607077"/>
    <w:rsid w:val="0061794C"/>
    <w:rsid w:val="00630E7B"/>
    <w:rsid w:val="006405D4"/>
    <w:rsid w:val="00665470"/>
    <w:rsid w:val="00680DF2"/>
    <w:rsid w:val="006A7C58"/>
    <w:rsid w:val="006A7E07"/>
    <w:rsid w:val="006B04B0"/>
    <w:rsid w:val="006D5699"/>
    <w:rsid w:val="006E6E3D"/>
    <w:rsid w:val="00705A23"/>
    <w:rsid w:val="007226FC"/>
    <w:rsid w:val="00774502"/>
    <w:rsid w:val="0079756D"/>
    <w:rsid w:val="007B71F9"/>
    <w:rsid w:val="007D4394"/>
    <w:rsid w:val="007E5EFC"/>
    <w:rsid w:val="00835F4A"/>
    <w:rsid w:val="00842010"/>
    <w:rsid w:val="00842745"/>
    <w:rsid w:val="008A4F82"/>
    <w:rsid w:val="008C7813"/>
    <w:rsid w:val="008D5B83"/>
    <w:rsid w:val="008D5F68"/>
    <w:rsid w:val="00913CD6"/>
    <w:rsid w:val="009206AE"/>
    <w:rsid w:val="00925070"/>
    <w:rsid w:val="009448B4"/>
    <w:rsid w:val="00954999"/>
    <w:rsid w:val="00983D3C"/>
    <w:rsid w:val="0098572B"/>
    <w:rsid w:val="009B3311"/>
    <w:rsid w:val="009C1FA4"/>
    <w:rsid w:val="009C65C9"/>
    <w:rsid w:val="009D496F"/>
    <w:rsid w:val="009F0B74"/>
    <w:rsid w:val="009F28F5"/>
    <w:rsid w:val="00A0137D"/>
    <w:rsid w:val="00A030D5"/>
    <w:rsid w:val="00A06A44"/>
    <w:rsid w:val="00A07683"/>
    <w:rsid w:val="00A12A39"/>
    <w:rsid w:val="00A17111"/>
    <w:rsid w:val="00A23588"/>
    <w:rsid w:val="00A274E1"/>
    <w:rsid w:val="00A31C67"/>
    <w:rsid w:val="00A44291"/>
    <w:rsid w:val="00A45FB1"/>
    <w:rsid w:val="00A522B6"/>
    <w:rsid w:val="00AB5369"/>
    <w:rsid w:val="00AC441D"/>
    <w:rsid w:val="00AE5261"/>
    <w:rsid w:val="00AF49B4"/>
    <w:rsid w:val="00AF7AAF"/>
    <w:rsid w:val="00B13C4C"/>
    <w:rsid w:val="00B25C2C"/>
    <w:rsid w:val="00B348D7"/>
    <w:rsid w:val="00B6033D"/>
    <w:rsid w:val="00B84A25"/>
    <w:rsid w:val="00BA650E"/>
    <w:rsid w:val="00BD4292"/>
    <w:rsid w:val="00BE7B97"/>
    <w:rsid w:val="00BF4C67"/>
    <w:rsid w:val="00C05364"/>
    <w:rsid w:val="00C06577"/>
    <w:rsid w:val="00C25ECE"/>
    <w:rsid w:val="00C37F40"/>
    <w:rsid w:val="00C67366"/>
    <w:rsid w:val="00C76674"/>
    <w:rsid w:val="00C85102"/>
    <w:rsid w:val="00C94DA5"/>
    <w:rsid w:val="00CA32A7"/>
    <w:rsid w:val="00CA7E35"/>
    <w:rsid w:val="00CB2D2B"/>
    <w:rsid w:val="00CB3CBF"/>
    <w:rsid w:val="00CB54B6"/>
    <w:rsid w:val="00CD38FE"/>
    <w:rsid w:val="00CE5449"/>
    <w:rsid w:val="00CE75EA"/>
    <w:rsid w:val="00D04011"/>
    <w:rsid w:val="00D2620A"/>
    <w:rsid w:val="00D409EA"/>
    <w:rsid w:val="00D5755F"/>
    <w:rsid w:val="00D61BA2"/>
    <w:rsid w:val="00D61F7F"/>
    <w:rsid w:val="00D63B1D"/>
    <w:rsid w:val="00D74DAC"/>
    <w:rsid w:val="00D74F73"/>
    <w:rsid w:val="00D7669B"/>
    <w:rsid w:val="00DD48FB"/>
    <w:rsid w:val="00DE5088"/>
    <w:rsid w:val="00DE5694"/>
    <w:rsid w:val="00DF0237"/>
    <w:rsid w:val="00E14F85"/>
    <w:rsid w:val="00E4702C"/>
    <w:rsid w:val="00E513B7"/>
    <w:rsid w:val="00E51A8A"/>
    <w:rsid w:val="00E9777D"/>
    <w:rsid w:val="00EA36FA"/>
    <w:rsid w:val="00EB263E"/>
    <w:rsid w:val="00EE3506"/>
    <w:rsid w:val="00EF1869"/>
    <w:rsid w:val="00F412E4"/>
    <w:rsid w:val="00F47BA4"/>
    <w:rsid w:val="00F609C0"/>
    <w:rsid w:val="00F63A2A"/>
    <w:rsid w:val="00F6708C"/>
    <w:rsid w:val="00F711C6"/>
    <w:rsid w:val="00F72EEE"/>
    <w:rsid w:val="00F9185A"/>
    <w:rsid w:val="00FB00B9"/>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B941F"/>
  <w15:docId w15:val="{670DC4FA-2E6C-F24E-A7EB-B0CEF329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paragraph" w:customStyle="1" w:styleId="2AutoList1">
    <w:name w:val="2AutoList1"/>
    <w:rsid w:val="00C0536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Normal1">
    <w:name w:val="Normal1"/>
    <w:rsid w:val="008A4F82"/>
    <w:pPr>
      <w:pBdr>
        <w:top w:val="nil"/>
        <w:left w:val="nil"/>
        <w:bottom w:val="nil"/>
        <w:right w:val="nil"/>
        <w:between w:val="nil"/>
      </w:pBd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1747918420">
      <w:bodyDiv w:val="1"/>
      <w:marLeft w:val="0"/>
      <w:marRight w:val="0"/>
      <w:marTop w:val="0"/>
      <w:marBottom w:val="0"/>
      <w:divBdr>
        <w:top w:val="none" w:sz="0" w:space="0" w:color="auto"/>
        <w:left w:val="none" w:sz="0" w:space="0" w:color="auto"/>
        <w:bottom w:val="none" w:sz="0" w:space="0" w:color="auto"/>
        <w:right w:val="none" w:sz="0" w:space="0" w:color="auto"/>
      </w:divBdr>
      <w:divsChild>
        <w:div w:id="1659646218">
          <w:marLeft w:val="0"/>
          <w:marRight w:val="0"/>
          <w:marTop w:val="0"/>
          <w:marBottom w:val="0"/>
          <w:divBdr>
            <w:top w:val="none" w:sz="0" w:space="0" w:color="auto"/>
            <w:left w:val="none" w:sz="0" w:space="0" w:color="auto"/>
            <w:bottom w:val="none" w:sz="0" w:space="0" w:color="auto"/>
            <w:right w:val="none" w:sz="0" w:space="0" w:color="auto"/>
          </w:divBdr>
          <w:divsChild>
            <w:div w:id="1777366717">
              <w:marLeft w:val="0"/>
              <w:marRight w:val="0"/>
              <w:marTop w:val="0"/>
              <w:marBottom w:val="0"/>
              <w:divBdr>
                <w:top w:val="none" w:sz="0" w:space="0" w:color="auto"/>
                <w:left w:val="none" w:sz="0" w:space="0" w:color="auto"/>
                <w:bottom w:val="none" w:sz="0" w:space="0" w:color="auto"/>
                <w:right w:val="none" w:sz="0" w:space="0" w:color="auto"/>
              </w:divBdr>
              <w:divsChild>
                <w:div w:id="1705475500">
                  <w:marLeft w:val="0"/>
                  <w:marRight w:val="0"/>
                  <w:marTop w:val="0"/>
                  <w:marBottom w:val="0"/>
                  <w:divBdr>
                    <w:top w:val="none" w:sz="0" w:space="0" w:color="auto"/>
                    <w:left w:val="none" w:sz="0" w:space="0" w:color="auto"/>
                    <w:bottom w:val="none" w:sz="0" w:space="0" w:color="auto"/>
                    <w:right w:val="none" w:sz="0" w:space="0" w:color="auto"/>
                  </w:divBdr>
                  <w:divsChild>
                    <w:div w:id="16513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ehs.uconn.edu/Regulated%20Waste%20Management/index.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5" Type="http://schemas.openxmlformats.org/officeDocument/2006/relationships/webSettings" Target="webSettings.xml"/><Relationship Id="rId15" Type="http://schemas.openxmlformats.org/officeDocument/2006/relationships/hyperlink" Target="http://policy.uconn.edu/2011/05/17/employee-code-of-conduct/" TargetMode="External"/><Relationship Id="rId10" Type="http://schemas.openxmlformats.org/officeDocument/2006/relationships/hyperlink" Target="http://policy.uconn.edu/2012/07/30/working-alone-poli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policy.uconn.edu/2011/05/19/health-and-safe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4AFC-9669-024B-9A7B-5365DC15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Ruoshi</dc:creator>
  <cp:keywords/>
  <dc:description/>
  <cp:lastModifiedBy>Christian Brückner</cp:lastModifiedBy>
  <cp:revision>18</cp:revision>
  <cp:lastPrinted>2017-11-27T16:36:00Z</cp:lastPrinted>
  <dcterms:created xsi:type="dcterms:W3CDTF">2017-11-22T17:26:00Z</dcterms:created>
  <dcterms:modified xsi:type="dcterms:W3CDTF">2018-04-17T23:01:00Z</dcterms:modified>
</cp:coreProperties>
</file>