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93C8" w14:textId="77777777" w:rsidR="00A274E1" w:rsidRPr="006F2715" w:rsidRDefault="00A274E1" w:rsidP="00954999">
      <w:pPr>
        <w:spacing w:after="0"/>
        <w:ind w:right="-720"/>
      </w:pPr>
    </w:p>
    <w:tbl>
      <w:tblPr>
        <w:tblW w:w="104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86"/>
        <w:gridCol w:w="5054"/>
      </w:tblGrid>
      <w:tr w:rsidR="00C85102" w:rsidRPr="006F2715" w14:paraId="121A7F20" w14:textId="77777777" w:rsidTr="0071612A">
        <w:trPr>
          <w:trHeight w:val="720"/>
        </w:trPr>
        <w:tc>
          <w:tcPr>
            <w:tcW w:w="10440" w:type="dxa"/>
            <w:gridSpan w:val="2"/>
            <w:shd w:val="clear" w:color="auto" w:fill="10253F"/>
            <w:vAlign w:val="center"/>
          </w:tcPr>
          <w:p w14:paraId="701BE201" w14:textId="78BA4356" w:rsidR="00C85102" w:rsidRPr="006F2715" w:rsidRDefault="00510912" w:rsidP="00400B2C">
            <w:pPr>
              <w:widowControl w:val="0"/>
              <w:spacing w:before="80" w:after="80" w:line="240" w:lineRule="auto"/>
              <w:jc w:val="center"/>
              <w:rPr>
                <w:rFonts w:eastAsia="Cambria" w:cs="Aparajita"/>
                <w:b/>
                <w:snapToGrid w:val="0"/>
                <w:color w:val="FFFFFF"/>
                <w:sz w:val="28"/>
                <w:szCs w:val="28"/>
              </w:rPr>
            </w:pPr>
            <w:r w:rsidRPr="006F2715">
              <w:rPr>
                <w:rFonts w:eastAsia="Times New Roman" w:cs="Aparajita"/>
                <w:b/>
                <w:snapToGrid w:val="0"/>
                <w:sz w:val="28"/>
                <w:szCs w:val="28"/>
              </w:rPr>
              <w:t xml:space="preserve">Brueckner </w:t>
            </w:r>
            <w:r w:rsidR="00C85102" w:rsidRPr="006F2715">
              <w:rPr>
                <w:rFonts w:eastAsia="Times New Roman" w:cs="Aparajita"/>
                <w:b/>
                <w:snapToGrid w:val="0"/>
                <w:sz w:val="28"/>
                <w:szCs w:val="28"/>
              </w:rPr>
              <w:t xml:space="preserve">Lab-Specific </w:t>
            </w:r>
            <w:r w:rsidR="00C85102" w:rsidRPr="006F2715">
              <w:rPr>
                <w:rFonts w:eastAsia="Times New Roman" w:cs="Aparajita"/>
                <w:b/>
                <w:snapToGrid w:val="0"/>
                <w:sz w:val="28"/>
                <w:szCs w:val="28"/>
              </w:rPr>
              <w:br w:type="page"/>
            </w:r>
            <w:r w:rsidR="00C85102" w:rsidRPr="006F2715">
              <w:rPr>
                <w:rFonts w:eastAsia="Cambria" w:cs="Aparajita"/>
                <w:b/>
                <w:snapToGrid w:val="0"/>
                <w:color w:val="FFFFFF"/>
                <w:sz w:val="28"/>
                <w:szCs w:val="28"/>
              </w:rPr>
              <w:t xml:space="preserve">Standard Operating Procedure </w:t>
            </w:r>
            <w:r w:rsidR="00AC441D" w:rsidRPr="006F2715">
              <w:rPr>
                <w:rFonts w:eastAsia="Cambria" w:cs="Aparajita"/>
                <w:b/>
                <w:snapToGrid w:val="0"/>
                <w:color w:val="FFFFFF"/>
                <w:sz w:val="28"/>
                <w:szCs w:val="28"/>
              </w:rPr>
              <w:t>(LSOP)</w:t>
            </w:r>
            <w:r w:rsidR="00400B2C" w:rsidRPr="006F2715">
              <w:rPr>
                <w:rFonts w:eastAsia="Cambria" w:cs="Aparajita"/>
                <w:b/>
                <w:snapToGrid w:val="0"/>
                <w:color w:val="FFFFFF"/>
                <w:sz w:val="28"/>
                <w:szCs w:val="28"/>
              </w:rPr>
              <w:t>:</w:t>
            </w:r>
          </w:p>
          <w:p w14:paraId="027D0AF8" w14:textId="2F57B31F" w:rsidR="00400B2C" w:rsidRPr="006F2715" w:rsidRDefault="00400B2C" w:rsidP="00400B2C">
            <w:pPr>
              <w:widowControl w:val="0"/>
              <w:spacing w:before="80" w:after="80" w:line="240" w:lineRule="auto"/>
              <w:jc w:val="center"/>
              <w:rPr>
                <w:rFonts w:eastAsia="Cambria" w:cs="Aparajita"/>
                <w:b/>
                <w:snapToGrid w:val="0"/>
                <w:color w:val="FFFFFF"/>
                <w:sz w:val="36"/>
                <w:szCs w:val="36"/>
              </w:rPr>
            </w:pPr>
            <w:r w:rsidRPr="006F2715">
              <w:rPr>
                <w:rFonts w:eastAsia="Cambria" w:cs="Aparajita"/>
                <w:b/>
                <w:snapToGrid w:val="0"/>
                <w:color w:val="FFFFFF"/>
                <w:sz w:val="28"/>
                <w:szCs w:val="28"/>
              </w:rPr>
              <w:t xml:space="preserve">Strong </w:t>
            </w:r>
            <w:r w:rsidR="00E5084A" w:rsidRPr="006F2715">
              <w:rPr>
                <w:rFonts w:eastAsia="Cambria" w:cs="Aparajita"/>
                <w:b/>
                <w:snapToGrid w:val="0"/>
                <w:color w:val="FFFFFF"/>
                <w:sz w:val="28"/>
                <w:szCs w:val="28"/>
              </w:rPr>
              <w:t xml:space="preserve">Aqueous, Non-oxidizing Mineral </w:t>
            </w:r>
            <w:r w:rsidRPr="006F2715">
              <w:rPr>
                <w:rFonts w:eastAsia="Cambria" w:cs="Aparajita"/>
                <w:b/>
                <w:snapToGrid w:val="0"/>
                <w:color w:val="FFFFFF"/>
                <w:sz w:val="28"/>
                <w:szCs w:val="28"/>
              </w:rPr>
              <w:t>Acids</w:t>
            </w:r>
            <w:r w:rsidR="00E5084A" w:rsidRPr="006F2715">
              <w:rPr>
                <w:rFonts w:eastAsia="Cambria" w:cs="Aparajita"/>
                <w:b/>
                <w:snapToGrid w:val="0"/>
                <w:color w:val="FFFFFF"/>
                <w:sz w:val="28"/>
                <w:szCs w:val="28"/>
              </w:rPr>
              <w:t xml:space="preserve">: </w:t>
            </w:r>
            <w:proofErr w:type="spellStart"/>
            <w:r w:rsidR="00E5084A" w:rsidRPr="006F2715">
              <w:rPr>
                <w:rFonts w:eastAsia="Cambria" w:cs="Aparajita"/>
                <w:b/>
                <w:snapToGrid w:val="0"/>
                <w:color w:val="FFFFFF"/>
                <w:sz w:val="28"/>
                <w:szCs w:val="28"/>
              </w:rPr>
              <w:t>HCl</w:t>
            </w:r>
            <w:proofErr w:type="spellEnd"/>
            <w:r w:rsidR="00E5084A" w:rsidRPr="006F2715">
              <w:rPr>
                <w:rFonts w:eastAsia="Cambria" w:cs="Aparajita"/>
                <w:b/>
                <w:snapToGrid w:val="0"/>
                <w:color w:val="FFFFFF"/>
                <w:sz w:val="28"/>
                <w:szCs w:val="28"/>
              </w:rPr>
              <w:t>, HBr, HI, H</w:t>
            </w:r>
            <w:r w:rsidR="00E5084A" w:rsidRPr="006F2715">
              <w:rPr>
                <w:rFonts w:eastAsia="Cambria" w:cs="Aparajita"/>
                <w:b/>
                <w:snapToGrid w:val="0"/>
                <w:color w:val="FFFFFF"/>
                <w:sz w:val="28"/>
                <w:szCs w:val="28"/>
                <w:vertAlign w:val="subscript"/>
              </w:rPr>
              <w:t>2</w:t>
            </w:r>
            <w:r w:rsidR="00E5084A" w:rsidRPr="006F2715">
              <w:rPr>
                <w:rFonts w:eastAsia="Cambria" w:cs="Aparajita"/>
                <w:b/>
                <w:snapToGrid w:val="0"/>
                <w:color w:val="FFFFFF"/>
                <w:sz w:val="28"/>
                <w:szCs w:val="28"/>
              </w:rPr>
              <w:t>SO</w:t>
            </w:r>
            <w:r w:rsidR="00E5084A" w:rsidRPr="006F2715">
              <w:rPr>
                <w:rFonts w:eastAsia="Cambria" w:cs="Aparajita"/>
                <w:b/>
                <w:snapToGrid w:val="0"/>
                <w:color w:val="FFFFFF"/>
                <w:sz w:val="28"/>
                <w:szCs w:val="28"/>
                <w:vertAlign w:val="subscript"/>
              </w:rPr>
              <w:t>4</w:t>
            </w:r>
            <w:r w:rsidR="00E5084A" w:rsidRPr="006F2715">
              <w:rPr>
                <w:rFonts w:eastAsia="Cambria" w:cs="Aparajita"/>
                <w:b/>
                <w:snapToGrid w:val="0"/>
                <w:color w:val="FFFFFF"/>
                <w:sz w:val="28"/>
                <w:szCs w:val="28"/>
              </w:rPr>
              <w:t>, H</w:t>
            </w:r>
            <w:r w:rsidR="00E5084A" w:rsidRPr="006F2715">
              <w:rPr>
                <w:rFonts w:eastAsia="Cambria" w:cs="Aparajita"/>
                <w:b/>
                <w:snapToGrid w:val="0"/>
                <w:color w:val="FFFFFF"/>
                <w:sz w:val="28"/>
                <w:szCs w:val="28"/>
                <w:vertAlign w:val="subscript"/>
              </w:rPr>
              <w:t>3</w:t>
            </w:r>
            <w:r w:rsidR="00E5084A" w:rsidRPr="006F2715">
              <w:rPr>
                <w:rFonts w:eastAsia="Cambria" w:cs="Aparajita"/>
                <w:b/>
                <w:snapToGrid w:val="0"/>
                <w:color w:val="FFFFFF"/>
                <w:sz w:val="28"/>
                <w:szCs w:val="28"/>
              </w:rPr>
              <w:t>PO</w:t>
            </w:r>
            <w:r w:rsidR="00E5084A" w:rsidRPr="006F2715">
              <w:rPr>
                <w:rFonts w:eastAsia="Cambria" w:cs="Aparajita"/>
                <w:b/>
                <w:snapToGrid w:val="0"/>
                <w:color w:val="FFFFFF"/>
                <w:sz w:val="28"/>
                <w:szCs w:val="28"/>
                <w:vertAlign w:val="subscript"/>
              </w:rPr>
              <w:t>4</w:t>
            </w:r>
            <w:r w:rsidR="00E5084A" w:rsidRPr="006F2715">
              <w:rPr>
                <w:rFonts w:eastAsia="Cambria" w:cs="Aparajita"/>
                <w:b/>
                <w:snapToGrid w:val="0"/>
                <w:color w:val="FFFFFF"/>
                <w:sz w:val="28"/>
                <w:szCs w:val="28"/>
              </w:rPr>
              <w:t>, HClO</w:t>
            </w:r>
            <w:r w:rsidR="00E5084A" w:rsidRPr="006F2715">
              <w:rPr>
                <w:rFonts w:eastAsia="Cambria" w:cs="Aparajita"/>
                <w:b/>
                <w:snapToGrid w:val="0"/>
                <w:color w:val="FFFFFF"/>
                <w:sz w:val="28"/>
                <w:szCs w:val="28"/>
                <w:vertAlign w:val="subscript"/>
              </w:rPr>
              <w:t>4</w:t>
            </w:r>
          </w:p>
        </w:tc>
      </w:tr>
      <w:tr w:rsidR="00C85102" w:rsidRPr="006F2715" w14:paraId="0F191C2B" w14:textId="77777777" w:rsidTr="0071612A">
        <w:trPr>
          <w:trHeight w:val="432"/>
        </w:trPr>
        <w:tc>
          <w:tcPr>
            <w:tcW w:w="10440" w:type="dxa"/>
            <w:gridSpan w:val="2"/>
            <w:shd w:val="clear" w:color="auto" w:fill="FFFFFF" w:themeFill="background1"/>
            <w:vAlign w:val="center"/>
          </w:tcPr>
          <w:p w14:paraId="1D8B967E" w14:textId="77777777" w:rsidR="00C85102" w:rsidRPr="006F2715" w:rsidRDefault="00C85102" w:rsidP="00181E6C">
            <w:pPr>
              <w:widowControl w:val="0"/>
              <w:spacing w:after="0" w:line="240" w:lineRule="auto"/>
              <w:rPr>
                <w:rFonts w:eastAsia="Times New Roman" w:cs="Aparajita"/>
                <w:snapToGrid w:val="0"/>
              </w:rPr>
            </w:pPr>
            <w:r w:rsidRPr="006F2715">
              <w:rPr>
                <w:rFonts w:eastAsia="Times New Roman" w:cs="Aparajita"/>
                <w:b/>
                <w:snapToGrid w:val="0"/>
              </w:rPr>
              <w:t>Princ</w:t>
            </w:r>
            <w:r w:rsidR="00C06577" w:rsidRPr="006F2715">
              <w:rPr>
                <w:rFonts w:eastAsia="Times New Roman" w:cs="Aparajita"/>
                <w:b/>
                <w:snapToGrid w:val="0"/>
              </w:rPr>
              <w:t>ipal Investigator(PI)</w:t>
            </w:r>
            <w:r w:rsidRPr="006F2715">
              <w:rPr>
                <w:rFonts w:eastAsia="Times New Roman" w:cs="Aparajita"/>
                <w:b/>
                <w:snapToGrid w:val="0"/>
              </w:rPr>
              <w:t>:</w:t>
            </w:r>
            <w:r w:rsidR="00181E6C" w:rsidRPr="006F2715">
              <w:rPr>
                <w:rFonts w:eastAsia="Times New Roman" w:cs="Aparajita"/>
                <w:snapToGrid w:val="0"/>
              </w:rPr>
              <w:t xml:space="preserve"> Christian Brueckner</w:t>
            </w:r>
          </w:p>
        </w:tc>
      </w:tr>
      <w:tr w:rsidR="0071612A" w:rsidRPr="006F2715" w14:paraId="1EEDE3FB" w14:textId="77777777" w:rsidTr="0071612A">
        <w:trPr>
          <w:trHeight w:val="432"/>
        </w:trPr>
        <w:tc>
          <w:tcPr>
            <w:tcW w:w="5386" w:type="dxa"/>
            <w:shd w:val="clear" w:color="auto" w:fill="FFFFFF" w:themeFill="background1"/>
            <w:vAlign w:val="center"/>
          </w:tcPr>
          <w:p w14:paraId="515A6088" w14:textId="77777777" w:rsidR="00C85102" w:rsidRPr="006F2715" w:rsidRDefault="00C85102" w:rsidP="00C85102">
            <w:pPr>
              <w:widowControl w:val="0"/>
              <w:spacing w:after="0" w:line="240" w:lineRule="auto"/>
              <w:rPr>
                <w:rFonts w:eastAsia="Times New Roman" w:cs="Aparajita"/>
                <w:snapToGrid w:val="0"/>
              </w:rPr>
            </w:pPr>
            <w:r w:rsidRPr="006F2715">
              <w:rPr>
                <w:rFonts w:eastAsia="Times New Roman" w:cs="Aparajita"/>
                <w:b/>
                <w:snapToGrid w:val="0"/>
              </w:rPr>
              <w:t>Building:</w:t>
            </w:r>
            <w:r w:rsidR="00181E6C" w:rsidRPr="006F2715">
              <w:rPr>
                <w:rFonts w:eastAsia="Times New Roman" w:cs="Aparajita"/>
                <w:snapToGrid w:val="0"/>
              </w:rPr>
              <w:t xml:space="preserve"> Chemistry</w:t>
            </w:r>
          </w:p>
        </w:tc>
        <w:tc>
          <w:tcPr>
            <w:tcW w:w="5054" w:type="dxa"/>
            <w:shd w:val="clear" w:color="auto" w:fill="FFFFFF" w:themeFill="background1"/>
            <w:vAlign w:val="center"/>
          </w:tcPr>
          <w:p w14:paraId="1336231E" w14:textId="77777777" w:rsidR="00C85102" w:rsidRPr="006F2715" w:rsidRDefault="00C85102" w:rsidP="00C85102">
            <w:pPr>
              <w:widowControl w:val="0"/>
              <w:spacing w:after="0" w:line="240" w:lineRule="auto"/>
              <w:rPr>
                <w:rFonts w:eastAsia="Times New Roman" w:cs="Aparajita"/>
                <w:snapToGrid w:val="0"/>
              </w:rPr>
            </w:pPr>
            <w:r w:rsidRPr="006F2715">
              <w:rPr>
                <w:rFonts w:eastAsia="Times New Roman" w:cs="Aparajita"/>
                <w:b/>
                <w:snapToGrid w:val="0"/>
              </w:rPr>
              <w:t xml:space="preserve">Lab(s) Covered by </w:t>
            </w:r>
            <w:r w:rsidR="00CD38FE" w:rsidRPr="006F2715">
              <w:rPr>
                <w:rFonts w:eastAsia="Times New Roman" w:cs="Aparajita"/>
                <w:b/>
                <w:snapToGrid w:val="0"/>
              </w:rPr>
              <w:t>L</w:t>
            </w:r>
            <w:r w:rsidRPr="006F2715">
              <w:rPr>
                <w:rFonts w:eastAsia="Times New Roman" w:cs="Aparajita"/>
                <w:b/>
                <w:snapToGrid w:val="0"/>
              </w:rPr>
              <w:t>SOP:</w:t>
            </w:r>
            <w:r w:rsidR="00181E6C" w:rsidRPr="006F2715">
              <w:rPr>
                <w:rFonts w:eastAsia="Times New Roman" w:cs="Aparajita"/>
                <w:snapToGrid w:val="0"/>
              </w:rPr>
              <w:t xml:space="preserve"> R413/R415</w:t>
            </w:r>
          </w:p>
        </w:tc>
      </w:tr>
      <w:tr w:rsidR="0071612A" w:rsidRPr="006F2715" w14:paraId="3BCF3BE0" w14:textId="77777777" w:rsidTr="0071612A">
        <w:trPr>
          <w:trHeight w:val="432"/>
        </w:trPr>
        <w:tc>
          <w:tcPr>
            <w:tcW w:w="5386" w:type="dxa"/>
            <w:shd w:val="clear" w:color="auto" w:fill="FFFFFF" w:themeFill="background1"/>
            <w:vAlign w:val="center"/>
          </w:tcPr>
          <w:p w14:paraId="274FE2DC" w14:textId="77777777" w:rsidR="001711BA" w:rsidRPr="006F2715" w:rsidRDefault="001711BA" w:rsidP="00C85102">
            <w:pPr>
              <w:widowControl w:val="0"/>
              <w:spacing w:after="0" w:line="240" w:lineRule="auto"/>
              <w:rPr>
                <w:rFonts w:eastAsia="Times New Roman" w:cs="Aparajita"/>
                <w:snapToGrid w:val="0"/>
              </w:rPr>
            </w:pPr>
            <w:r w:rsidRPr="006F2715">
              <w:rPr>
                <w:rFonts w:eastAsia="Times New Roman" w:cs="Aparajita"/>
                <w:b/>
                <w:snapToGrid w:val="0"/>
              </w:rPr>
              <w:t>Department:</w:t>
            </w:r>
            <w:r w:rsidR="00181E6C" w:rsidRPr="006F2715">
              <w:rPr>
                <w:rFonts w:eastAsia="Times New Roman" w:cs="Aparajita"/>
                <w:snapToGrid w:val="0"/>
              </w:rPr>
              <w:t xml:space="preserve"> Chemistry</w:t>
            </w:r>
          </w:p>
        </w:tc>
        <w:tc>
          <w:tcPr>
            <w:tcW w:w="5054" w:type="dxa"/>
            <w:shd w:val="clear" w:color="auto" w:fill="FFFFFF" w:themeFill="background1"/>
            <w:vAlign w:val="center"/>
          </w:tcPr>
          <w:p w14:paraId="3EBEE11F" w14:textId="77777777" w:rsidR="001711BA" w:rsidRPr="006F2715" w:rsidRDefault="001711BA" w:rsidP="00C85102">
            <w:pPr>
              <w:widowControl w:val="0"/>
              <w:spacing w:after="0" w:line="240" w:lineRule="auto"/>
              <w:rPr>
                <w:rFonts w:eastAsia="Times New Roman" w:cs="Aparajita"/>
                <w:snapToGrid w:val="0"/>
              </w:rPr>
            </w:pPr>
            <w:r w:rsidRPr="006F2715">
              <w:rPr>
                <w:rFonts w:eastAsia="Times New Roman" w:cs="Aparajita"/>
                <w:b/>
                <w:snapToGrid w:val="0"/>
              </w:rPr>
              <w:t>Lab Phone Number(s):</w:t>
            </w:r>
            <w:r w:rsidR="00181E6C" w:rsidRPr="006F2715">
              <w:rPr>
                <w:rFonts w:eastAsia="Times New Roman" w:cs="Aparajita"/>
                <w:snapToGrid w:val="0"/>
              </w:rPr>
              <w:t xml:space="preserve"> 6-6596/6-6598</w:t>
            </w:r>
          </w:p>
        </w:tc>
      </w:tr>
      <w:tr w:rsidR="0071612A" w:rsidRPr="006F2715" w14:paraId="42104FD1" w14:textId="77777777" w:rsidTr="0071612A">
        <w:trPr>
          <w:trHeight w:val="432"/>
        </w:trPr>
        <w:tc>
          <w:tcPr>
            <w:tcW w:w="10440" w:type="dxa"/>
            <w:gridSpan w:val="2"/>
            <w:shd w:val="clear" w:color="auto" w:fill="000E2F"/>
            <w:vAlign w:val="center"/>
          </w:tcPr>
          <w:p w14:paraId="1FB6C780" w14:textId="77777777" w:rsidR="00842745" w:rsidRPr="006F2715" w:rsidRDefault="00EA36FA" w:rsidP="000570F1">
            <w:pPr>
              <w:pStyle w:val="Heading1"/>
              <w:spacing w:before="80" w:after="80"/>
              <w:rPr>
                <w:rFonts w:asciiTheme="minorHAnsi" w:hAnsiTheme="minorHAnsi"/>
                <w:b/>
                <w:sz w:val="24"/>
                <w:szCs w:val="24"/>
              </w:rPr>
            </w:pPr>
            <w:r w:rsidRPr="006F2715">
              <w:rPr>
                <w:rFonts w:asciiTheme="minorHAnsi" w:hAnsiTheme="minorHAnsi"/>
                <w:b/>
                <w:color w:val="FFFFFF" w:themeColor="background1"/>
                <w:sz w:val="24"/>
                <w:szCs w:val="24"/>
              </w:rPr>
              <w:t xml:space="preserve">SECTION 1 – </w:t>
            </w:r>
            <w:r w:rsidR="00174A02" w:rsidRPr="006F2715">
              <w:rPr>
                <w:rFonts w:asciiTheme="minorHAnsi" w:hAnsiTheme="minorHAnsi"/>
                <w:b/>
                <w:color w:val="FFFFFF" w:themeColor="background1"/>
                <w:sz w:val="24"/>
                <w:szCs w:val="24"/>
              </w:rPr>
              <w:t>HAZARDOUS CHEMICAL</w:t>
            </w:r>
            <w:r w:rsidR="00427210" w:rsidRPr="006F2715">
              <w:rPr>
                <w:rFonts w:asciiTheme="minorHAnsi" w:hAnsiTheme="minorHAnsi"/>
                <w:b/>
                <w:color w:val="FFFFFF" w:themeColor="background1"/>
                <w:sz w:val="24"/>
                <w:szCs w:val="24"/>
              </w:rPr>
              <w:t>(</w:t>
            </w:r>
            <w:r w:rsidR="00174A02" w:rsidRPr="006F2715">
              <w:rPr>
                <w:rFonts w:asciiTheme="minorHAnsi" w:hAnsiTheme="minorHAnsi"/>
                <w:b/>
                <w:color w:val="FFFFFF" w:themeColor="background1"/>
                <w:sz w:val="24"/>
                <w:szCs w:val="24"/>
              </w:rPr>
              <w:t>S</w:t>
            </w:r>
            <w:r w:rsidR="00427210" w:rsidRPr="006F2715">
              <w:rPr>
                <w:rFonts w:asciiTheme="minorHAnsi" w:hAnsiTheme="minorHAnsi"/>
                <w:b/>
                <w:color w:val="FFFFFF" w:themeColor="background1"/>
                <w:sz w:val="24"/>
                <w:szCs w:val="24"/>
              </w:rPr>
              <w:t>)</w:t>
            </w:r>
            <w:r w:rsidRPr="006F2715">
              <w:rPr>
                <w:rFonts w:asciiTheme="minorHAnsi" w:hAnsiTheme="minorHAnsi"/>
                <w:b/>
                <w:color w:val="FFFFFF" w:themeColor="background1"/>
                <w:sz w:val="24"/>
                <w:szCs w:val="24"/>
              </w:rPr>
              <w:t xml:space="preserve"> or PROCESS</w:t>
            </w:r>
            <w:r w:rsidR="00427210" w:rsidRPr="006F2715">
              <w:rPr>
                <w:rFonts w:asciiTheme="minorHAnsi" w:hAnsiTheme="minorHAnsi"/>
                <w:b/>
                <w:color w:val="FFFFFF" w:themeColor="background1"/>
                <w:sz w:val="24"/>
                <w:szCs w:val="24"/>
              </w:rPr>
              <w:t xml:space="preserve">(ES) and </w:t>
            </w:r>
            <w:r w:rsidR="000570F1" w:rsidRPr="006F2715">
              <w:rPr>
                <w:rFonts w:asciiTheme="minorHAnsi" w:hAnsiTheme="minorHAnsi"/>
                <w:b/>
                <w:color w:val="FFFFFF" w:themeColor="background1"/>
                <w:sz w:val="24"/>
                <w:szCs w:val="24"/>
              </w:rPr>
              <w:t>HAZARDS INVOLVED</w:t>
            </w:r>
          </w:p>
        </w:tc>
      </w:tr>
      <w:tr w:rsidR="0071612A" w:rsidRPr="006F2715" w14:paraId="6428C652" w14:textId="77777777" w:rsidTr="0071612A">
        <w:trPr>
          <w:trHeight w:val="2933"/>
        </w:trPr>
        <w:tc>
          <w:tcPr>
            <w:tcW w:w="10440" w:type="dxa"/>
            <w:gridSpan w:val="2"/>
            <w:shd w:val="clear" w:color="auto" w:fill="FFFFFF" w:themeFill="background1"/>
            <w:vAlign w:val="center"/>
          </w:tcPr>
          <w:p w14:paraId="64D5519C" w14:textId="75822406" w:rsidR="00F350F0" w:rsidRPr="006F2715" w:rsidRDefault="00F350F0" w:rsidP="00F350F0">
            <w:pPr>
              <w:widowControl w:val="0"/>
              <w:spacing w:before="80" w:after="80" w:line="240" w:lineRule="auto"/>
              <w:contextualSpacing/>
            </w:pPr>
            <w:r w:rsidRPr="006F2715">
              <w:t xml:space="preserve">All </w:t>
            </w:r>
            <w:r w:rsidR="00400B2C" w:rsidRPr="006F2715">
              <w:t>compounds</w:t>
            </w:r>
            <w:r w:rsidRPr="006F2715">
              <w:t xml:space="preserve"> in this class are highly corrosive chemicals. Inhalation may cause irritation to the respiratory tract with burning pain in the nose and throat, coughing, wheezing, shortness of breath, and pulmonary edema.  Contact with skin causes burns and irritation. Eye contact causes burns, irritation, and may cause blindness. Ingestion may cause permanent damage to the digestive tract.</w:t>
            </w:r>
          </w:p>
          <w:p w14:paraId="66A8B4EC" w14:textId="77777777" w:rsidR="00F350F0" w:rsidRPr="006F2715" w:rsidRDefault="00F350F0" w:rsidP="00F350F0">
            <w:pPr>
              <w:widowControl w:val="0"/>
              <w:spacing w:before="80" w:after="80" w:line="240" w:lineRule="auto"/>
              <w:contextualSpacing/>
            </w:pPr>
            <w:r w:rsidRPr="006F2715">
              <w:t>Additional notes on chemical-specific hazards:</w:t>
            </w:r>
          </w:p>
          <w:p w14:paraId="1DABED75" w14:textId="0DBCD6FF" w:rsidR="00F350F0" w:rsidRPr="006F2715" w:rsidRDefault="00F716E8" w:rsidP="00400B2C">
            <w:pPr>
              <w:widowControl w:val="0"/>
              <w:spacing w:before="80" w:after="80" w:line="240" w:lineRule="auto"/>
              <w:ind w:left="242"/>
              <w:contextualSpacing/>
            </w:pPr>
            <w:r w:rsidRPr="006F2715">
              <w:rPr>
                <w:i/>
                <w:iCs/>
              </w:rPr>
              <w:t xml:space="preserve">Hydrochloric </w:t>
            </w:r>
            <w:r w:rsidR="00400B2C" w:rsidRPr="006F2715">
              <w:rPr>
                <w:i/>
                <w:iCs/>
              </w:rPr>
              <w:t>(</w:t>
            </w:r>
            <w:proofErr w:type="spellStart"/>
            <w:r w:rsidR="00400B2C" w:rsidRPr="006F2715">
              <w:rPr>
                <w:i/>
                <w:iCs/>
              </w:rPr>
              <w:t>HCl</w:t>
            </w:r>
            <w:proofErr w:type="spellEnd"/>
            <w:r w:rsidRPr="006F2715">
              <w:rPr>
                <w:i/>
                <w:iCs/>
              </w:rPr>
              <w:t>), hydrobromic (HBr), and hydroiodic (HI) acids</w:t>
            </w:r>
            <w:r w:rsidR="00F350F0" w:rsidRPr="006F2715">
              <w:t>:  strong eye irritant</w:t>
            </w:r>
            <w:r w:rsidRPr="006F2715">
              <w:t>s</w:t>
            </w:r>
            <w:r w:rsidR="00F350F0" w:rsidRPr="006F2715">
              <w:t xml:space="preserve"> and lachrymator</w:t>
            </w:r>
            <w:r w:rsidRPr="006F2715">
              <w:t>s</w:t>
            </w:r>
          </w:p>
          <w:p w14:paraId="31593D8C" w14:textId="77777777" w:rsidR="00F716E8" w:rsidRPr="006F2715" w:rsidRDefault="00F716E8" w:rsidP="00400B2C">
            <w:pPr>
              <w:widowControl w:val="0"/>
              <w:spacing w:before="80" w:after="80" w:line="240" w:lineRule="auto"/>
              <w:ind w:left="242"/>
              <w:contextualSpacing/>
              <w:rPr>
                <w:i/>
                <w:iCs/>
              </w:rPr>
            </w:pPr>
            <w:r w:rsidRPr="006F2715">
              <w:rPr>
                <w:i/>
                <w:iCs/>
              </w:rPr>
              <w:t>Hydrofluoric acid (HF)</w:t>
            </w:r>
            <w:r w:rsidRPr="006F2715">
              <w:t xml:space="preserve">:  causes severe burns that may not be immediately painful or visible – symptoms may be delayed 8 hours or longer – the use of HF is </w:t>
            </w:r>
            <w:r w:rsidRPr="006F2715">
              <w:rPr>
                <w:b/>
              </w:rPr>
              <w:t>not</w:t>
            </w:r>
            <w:r w:rsidRPr="006F2715">
              <w:t xml:space="preserve"> permitted in the Brueckner Laboratories</w:t>
            </w:r>
            <w:r w:rsidRPr="006F2715">
              <w:rPr>
                <w:i/>
                <w:iCs/>
              </w:rPr>
              <w:t xml:space="preserve"> </w:t>
            </w:r>
          </w:p>
          <w:p w14:paraId="2BAFA2F9" w14:textId="479ADFBA" w:rsidR="004A0961" w:rsidRPr="006F2715" w:rsidRDefault="00F350F0" w:rsidP="00400B2C">
            <w:pPr>
              <w:widowControl w:val="0"/>
              <w:spacing w:before="80" w:after="80" w:line="240" w:lineRule="auto"/>
              <w:ind w:left="242"/>
              <w:contextualSpacing/>
            </w:pPr>
            <w:r w:rsidRPr="006F2715">
              <w:rPr>
                <w:i/>
                <w:iCs/>
              </w:rPr>
              <w:t>Sulfuric acid</w:t>
            </w:r>
            <w:r w:rsidR="00400B2C" w:rsidRPr="006F2715">
              <w:rPr>
                <w:i/>
                <w:iCs/>
              </w:rPr>
              <w:t xml:space="preserve"> (H</w:t>
            </w:r>
            <w:r w:rsidR="00400B2C" w:rsidRPr="006F2715">
              <w:rPr>
                <w:i/>
                <w:iCs/>
                <w:vertAlign w:val="subscript"/>
              </w:rPr>
              <w:t>2</w:t>
            </w:r>
            <w:r w:rsidR="00400B2C" w:rsidRPr="006F2715">
              <w:rPr>
                <w:i/>
                <w:iCs/>
              </w:rPr>
              <w:t>SO</w:t>
            </w:r>
            <w:r w:rsidR="00400B2C" w:rsidRPr="006F2715">
              <w:rPr>
                <w:i/>
                <w:iCs/>
                <w:vertAlign w:val="subscript"/>
              </w:rPr>
              <w:t>4</w:t>
            </w:r>
            <w:r w:rsidR="00400B2C" w:rsidRPr="006F2715">
              <w:rPr>
                <w:i/>
                <w:iCs/>
              </w:rPr>
              <w:t>)</w:t>
            </w:r>
            <w:r w:rsidRPr="006F2715">
              <w:t xml:space="preserve"> – water reactive; strong</w:t>
            </w:r>
            <w:r w:rsidR="00400B2C" w:rsidRPr="006F2715">
              <w:t>ly dehydrating, very corrosive toward tissue</w:t>
            </w:r>
          </w:p>
          <w:p w14:paraId="06D2E85C" w14:textId="10A72842" w:rsidR="00E5084A" w:rsidRPr="006F2715" w:rsidRDefault="00F716E8" w:rsidP="00686533">
            <w:pPr>
              <w:widowControl w:val="0"/>
              <w:spacing w:before="80" w:after="80" w:line="240" w:lineRule="auto"/>
              <w:ind w:left="242"/>
              <w:contextualSpacing/>
            </w:pPr>
            <w:r w:rsidRPr="006F2715">
              <w:rPr>
                <w:i/>
                <w:iCs/>
              </w:rPr>
              <w:t>Phosphoric acid (H</w:t>
            </w:r>
            <w:r w:rsidRPr="006F2715">
              <w:rPr>
                <w:i/>
                <w:iCs/>
                <w:vertAlign w:val="subscript"/>
              </w:rPr>
              <w:t>3</w:t>
            </w:r>
            <w:r w:rsidRPr="006F2715">
              <w:rPr>
                <w:i/>
                <w:iCs/>
              </w:rPr>
              <w:t>PO</w:t>
            </w:r>
            <w:r w:rsidRPr="006F2715">
              <w:rPr>
                <w:i/>
                <w:iCs/>
                <w:vertAlign w:val="subscript"/>
              </w:rPr>
              <w:t>4</w:t>
            </w:r>
            <w:r w:rsidRPr="006F2715">
              <w:rPr>
                <w:i/>
                <w:iCs/>
              </w:rPr>
              <w:t xml:space="preserve">) </w:t>
            </w:r>
            <w:r w:rsidRPr="006F2715">
              <w:t>–</w:t>
            </w:r>
            <w:r w:rsidR="00985668" w:rsidRPr="006F2715">
              <w:t>toxicity towards a growing embryo or the reproductive systems</w:t>
            </w:r>
          </w:p>
        </w:tc>
      </w:tr>
      <w:tr w:rsidR="0071612A" w:rsidRPr="006F2715" w14:paraId="2808CF62" w14:textId="77777777" w:rsidTr="0071612A">
        <w:trPr>
          <w:trHeight w:val="432"/>
        </w:trPr>
        <w:tc>
          <w:tcPr>
            <w:tcW w:w="10440" w:type="dxa"/>
            <w:gridSpan w:val="2"/>
            <w:shd w:val="clear" w:color="auto" w:fill="000E2F"/>
            <w:vAlign w:val="center"/>
          </w:tcPr>
          <w:p w14:paraId="0B4D1AC6" w14:textId="77777777" w:rsidR="00842745" w:rsidRPr="006F2715" w:rsidRDefault="00174A02" w:rsidP="00F350F0">
            <w:pPr>
              <w:pStyle w:val="Heading1"/>
              <w:spacing w:before="80" w:after="80"/>
              <w:contextualSpacing/>
              <w:rPr>
                <w:rFonts w:asciiTheme="minorHAnsi" w:hAnsiTheme="minorHAnsi"/>
                <w:b/>
                <w:color w:val="FFFFFF" w:themeColor="background1"/>
                <w:sz w:val="24"/>
                <w:szCs w:val="24"/>
              </w:rPr>
            </w:pPr>
            <w:r w:rsidRPr="006F2715">
              <w:rPr>
                <w:rFonts w:asciiTheme="minorHAnsi" w:hAnsiTheme="minorHAnsi"/>
                <w:b/>
                <w:color w:val="FFFFFF" w:themeColor="background1"/>
                <w:sz w:val="24"/>
                <w:szCs w:val="24"/>
              </w:rPr>
              <w:t>SECTION 2 – ADMINISTRATIVE CONTROLS</w:t>
            </w:r>
          </w:p>
        </w:tc>
      </w:tr>
      <w:tr w:rsidR="0071612A" w:rsidRPr="006F2715" w14:paraId="5DC1F798" w14:textId="77777777" w:rsidTr="0071612A">
        <w:trPr>
          <w:trHeight w:val="432"/>
        </w:trPr>
        <w:tc>
          <w:tcPr>
            <w:tcW w:w="10440" w:type="dxa"/>
            <w:gridSpan w:val="2"/>
            <w:shd w:val="clear" w:color="auto" w:fill="FFFFFF" w:themeFill="background1"/>
            <w:vAlign w:val="center"/>
          </w:tcPr>
          <w:p w14:paraId="298557B5" w14:textId="4E576C94" w:rsidR="00E5084A" w:rsidRPr="006F2715" w:rsidRDefault="00E5084A" w:rsidP="00E5084A">
            <w:pPr>
              <w:pStyle w:val="ListParagraph"/>
              <w:widowControl w:val="0"/>
              <w:numPr>
                <w:ilvl w:val="0"/>
                <w:numId w:val="6"/>
              </w:numPr>
              <w:spacing w:before="80" w:after="80" w:line="240" w:lineRule="auto"/>
            </w:pPr>
            <w:r w:rsidRPr="006F2715">
              <w:t xml:space="preserve">Anyone using the chemicals and procedures described herein needs to have undergone the annual EH&amp;S </w:t>
            </w:r>
            <w:hyperlink r:id="rId8" w:history="1">
              <w:r w:rsidRPr="006F2715">
                <w:rPr>
                  <w:rStyle w:val="Hyperlink"/>
                </w:rPr>
                <w:t>Chemical Hygiene Training</w:t>
              </w:r>
            </w:hyperlink>
          </w:p>
          <w:p w14:paraId="7B82914B" w14:textId="77777777" w:rsidR="00E5084A" w:rsidRPr="006F2715" w:rsidRDefault="00E5084A" w:rsidP="00E5084A">
            <w:pPr>
              <w:pStyle w:val="ListParagraph"/>
              <w:widowControl w:val="0"/>
              <w:numPr>
                <w:ilvl w:val="0"/>
                <w:numId w:val="6"/>
              </w:numPr>
              <w:spacing w:before="80" w:after="80" w:line="240" w:lineRule="auto"/>
            </w:pPr>
            <w:r w:rsidRPr="006F2715">
              <w:t xml:space="preserve">Be aware of the applicable safety data sheets (MSDS): </w:t>
            </w:r>
            <w:hyperlink r:id="rId9" w:history="1">
              <w:r w:rsidRPr="006F2715">
                <w:rPr>
                  <w:rStyle w:val="Hyperlink"/>
                  <w:rFonts w:eastAsia="Times New Roman" w:cs="Aparajita"/>
                  <w:snapToGrid w:val="0"/>
                </w:rPr>
                <w:t>http://www.msds.com</w:t>
              </w:r>
            </w:hyperlink>
          </w:p>
          <w:p w14:paraId="5B0CE294" w14:textId="77777777" w:rsidR="00E5084A" w:rsidRPr="006F2715" w:rsidRDefault="00440E1E" w:rsidP="00E5084A">
            <w:pPr>
              <w:pStyle w:val="ListParagraph"/>
              <w:widowControl w:val="0"/>
              <w:numPr>
                <w:ilvl w:val="0"/>
                <w:numId w:val="6"/>
              </w:numPr>
              <w:spacing w:before="80" w:after="80" w:line="240" w:lineRule="auto"/>
              <w:rPr>
                <w:rFonts w:cs="Tahoma"/>
                <w:color w:val="000000"/>
                <w:shd w:val="clear" w:color="auto" w:fill="FFFFFF"/>
              </w:rPr>
            </w:pPr>
            <w:hyperlink r:id="rId10" w:history="1">
              <w:r w:rsidR="00E5084A" w:rsidRPr="006F2715">
                <w:rPr>
                  <w:rStyle w:val="Hyperlink"/>
                </w:rPr>
                <w:t>Working Alone</w:t>
              </w:r>
            </w:hyperlink>
            <w:r w:rsidR="00E5084A" w:rsidRPr="006F2715">
              <w:t xml:space="preserve"> is not permitted when using chemicals or processes described in this LSOP</w:t>
            </w:r>
          </w:p>
          <w:p w14:paraId="4C00D963" w14:textId="37D3972F" w:rsidR="00E5084A" w:rsidRPr="006F2715" w:rsidRDefault="00E5084A" w:rsidP="00E5084A">
            <w:pPr>
              <w:pStyle w:val="ListParagraph"/>
              <w:widowControl w:val="0"/>
              <w:numPr>
                <w:ilvl w:val="0"/>
                <w:numId w:val="6"/>
              </w:numPr>
              <w:spacing w:after="0" w:line="240" w:lineRule="auto"/>
              <w:rPr>
                <w:rFonts w:eastAsia="Times New Roman" w:cs="Aparajita"/>
                <w:snapToGrid w:val="0"/>
              </w:rPr>
            </w:pPr>
            <w:r w:rsidRPr="006F2715">
              <w:rPr>
                <w:rFonts w:cs="Tahoma"/>
                <w:color w:val="000000"/>
                <w:shd w:val="clear" w:color="auto" w:fill="FFFFFF"/>
              </w:rPr>
              <w:t xml:space="preserve">Handling of the large bottles of the concentrated acids </w:t>
            </w:r>
            <w:r w:rsidRPr="006F2715">
              <w:rPr>
                <w:rFonts w:eastAsia="Times New Roman" w:cs="Aparajita"/>
                <w:snapToGrid w:val="0"/>
              </w:rPr>
              <w:t>should be performed during normal business hours (i.e., 8:00 am-5:00 pm Mon-Fri), if possible</w:t>
            </w:r>
          </w:p>
          <w:p w14:paraId="49D72562" w14:textId="0FE64A4B" w:rsidR="004A0961" w:rsidRPr="006F2715" w:rsidRDefault="00E5084A" w:rsidP="00E5084A">
            <w:pPr>
              <w:pStyle w:val="ListParagraph"/>
              <w:widowControl w:val="0"/>
              <w:numPr>
                <w:ilvl w:val="0"/>
                <w:numId w:val="6"/>
              </w:numPr>
              <w:spacing w:before="80" w:after="80" w:line="240" w:lineRule="auto"/>
              <w:rPr>
                <w:rFonts w:cs="Tahoma"/>
                <w:color w:val="000000"/>
                <w:shd w:val="clear" w:color="auto" w:fill="FFFFFF"/>
              </w:rPr>
            </w:pPr>
            <w:r w:rsidRPr="006F2715">
              <w:rPr>
                <w:rFonts w:cs="Tahoma"/>
                <w:color w:val="000000"/>
                <w:shd w:val="clear" w:color="auto" w:fill="FFFFFF"/>
              </w:rPr>
              <w:t>Unobstructed eyewash and safety shower must be in the immediate work area</w:t>
            </w:r>
          </w:p>
        </w:tc>
      </w:tr>
      <w:tr w:rsidR="0071612A" w:rsidRPr="006F2715" w14:paraId="59E2E4C0" w14:textId="77777777" w:rsidTr="0071612A">
        <w:trPr>
          <w:trHeight w:val="432"/>
        </w:trPr>
        <w:tc>
          <w:tcPr>
            <w:tcW w:w="10440" w:type="dxa"/>
            <w:gridSpan w:val="2"/>
            <w:tcBorders>
              <w:bottom w:val="single" w:sz="4" w:space="0" w:color="auto"/>
            </w:tcBorders>
            <w:shd w:val="clear" w:color="auto" w:fill="000E2F"/>
            <w:vAlign w:val="center"/>
          </w:tcPr>
          <w:p w14:paraId="754457A2" w14:textId="77777777" w:rsidR="00842745" w:rsidRPr="006F2715" w:rsidRDefault="00174A02" w:rsidP="00C76674">
            <w:pPr>
              <w:pStyle w:val="Heading1"/>
              <w:spacing w:before="80" w:after="80"/>
              <w:rPr>
                <w:rFonts w:asciiTheme="minorHAnsi" w:hAnsiTheme="minorHAnsi"/>
                <w:b/>
                <w:sz w:val="24"/>
                <w:szCs w:val="24"/>
              </w:rPr>
            </w:pPr>
            <w:r w:rsidRPr="006F2715">
              <w:rPr>
                <w:rFonts w:asciiTheme="minorHAnsi" w:hAnsiTheme="minorHAnsi"/>
                <w:b/>
                <w:color w:val="FFFFFF" w:themeColor="background1"/>
                <w:sz w:val="24"/>
                <w:szCs w:val="24"/>
              </w:rPr>
              <w:t>SECTION 3- ENGINEERING CONTROLS</w:t>
            </w:r>
          </w:p>
        </w:tc>
      </w:tr>
      <w:tr w:rsidR="0071612A" w:rsidRPr="006F2715" w14:paraId="04C8BF62" w14:textId="77777777" w:rsidTr="0071612A">
        <w:trPr>
          <w:trHeight w:val="432"/>
        </w:trPr>
        <w:tc>
          <w:tcPr>
            <w:tcW w:w="10440" w:type="dxa"/>
            <w:gridSpan w:val="2"/>
            <w:shd w:val="clear" w:color="auto" w:fill="auto"/>
            <w:vAlign w:val="center"/>
          </w:tcPr>
          <w:p w14:paraId="0B0049E8" w14:textId="28FF56CA" w:rsidR="006F2715" w:rsidRPr="006F2715" w:rsidRDefault="006F2715" w:rsidP="00A46824">
            <w:pPr>
              <w:pStyle w:val="Heading1"/>
              <w:numPr>
                <w:ilvl w:val="0"/>
                <w:numId w:val="39"/>
              </w:numPr>
              <w:spacing w:before="0" w:line="240" w:lineRule="auto"/>
              <w:ind w:left="778" w:hanging="418"/>
              <w:rPr>
                <w:rFonts w:asciiTheme="minorHAnsi" w:hAnsiTheme="minorHAnsi"/>
                <w:color w:val="000000" w:themeColor="text1"/>
                <w:sz w:val="22"/>
                <w:szCs w:val="22"/>
              </w:rPr>
            </w:pPr>
            <w:r w:rsidRPr="006F2715">
              <w:rPr>
                <w:rFonts w:asciiTheme="minorHAnsi" w:hAnsiTheme="minorHAnsi"/>
                <w:color w:val="000000" w:themeColor="text1"/>
                <w:sz w:val="22"/>
                <w:szCs w:val="22"/>
              </w:rPr>
              <w:t>All research with the volatile conc. acids (</w:t>
            </w:r>
            <w:proofErr w:type="spellStart"/>
            <w:r w:rsidRPr="006F2715">
              <w:rPr>
                <w:rFonts w:asciiTheme="minorHAnsi" w:hAnsiTheme="minorHAnsi"/>
                <w:color w:val="000000" w:themeColor="text1"/>
                <w:sz w:val="22"/>
                <w:szCs w:val="22"/>
              </w:rPr>
              <w:t>HCl</w:t>
            </w:r>
            <w:proofErr w:type="spellEnd"/>
            <w:r w:rsidRPr="006F2715">
              <w:rPr>
                <w:rFonts w:asciiTheme="minorHAnsi" w:hAnsiTheme="minorHAnsi"/>
                <w:color w:val="000000" w:themeColor="text1"/>
                <w:sz w:val="22"/>
                <w:szCs w:val="22"/>
              </w:rPr>
              <w:t>, HBr, HI) must be conducted in a chemical fume hood, with the sash at the lowest working height and with sliding sash panels (if applicable) aligned to form a barrier between the researcher and the experiment.</w:t>
            </w:r>
          </w:p>
          <w:p w14:paraId="7314ECAE" w14:textId="3DED5704" w:rsidR="006F2715" w:rsidRPr="006F2715" w:rsidRDefault="006F2715" w:rsidP="00A46824">
            <w:pPr>
              <w:pStyle w:val="Heading1"/>
              <w:numPr>
                <w:ilvl w:val="0"/>
                <w:numId w:val="39"/>
              </w:numPr>
              <w:spacing w:before="0" w:line="240" w:lineRule="auto"/>
              <w:ind w:left="778" w:hanging="418"/>
              <w:rPr>
                <w:rFonts w:asciiTheme="minorHAnsi" w:hAnsiTheme="minorHAnsi"/>
                <w:color w:val="000000" w:themeColor="text1"/>
                <w:sz w:val="22"/>
                <w:szCs w:val="22"/>
              </w:rPr>
            </w:pPr>
            <w:r w:rsidRPr="006F2715">
              <w:rPr>
                <w:rFonts w:asciiTheme="minorHAnsi" w:hAnsiTheme="minorHAnsi"/>
                <w:color w:val="000000" w:themeColor="text1"/>
                <w:sz w:val="22"/>
                <w:szCs w:val="22"/>
              </w:rPr>
              <w:t>Chemical fume hoods must have been tested by EHS within the last year. If the hood is not working properly, contact Facilities (486-3113) to repair the hood or EH&amp;S to retest (486-3613)</w:t>
            </w:r>
          </w:p>
        </w:tc>
      </w:tr>
      <w:tr w:rsidR="0071612A" w:rsidRPr="006F2715" w14:paraId="5632D75B" w14:textId="77777777" w:rsidTr="0071612A">
        <w:trPr>
          <w:trHeight w:val="432"/>
        </w:trPr>
        <w:tc>
          <w:tcPr>
            <w:tcW w:w="10440" w:type="dxa"/>
            <w:gridSpan w:val="2"/>
            <w:shd w:val="clear" w:color="auto" w:fill="000E2F"/>
            <w:vAlign w:val="center"/>
          </w:tcPr>
          <w:p w14:paraId="36C24737" w14:textId="77777777" w:rsidR="00842745" w:rsidRPr="006F2715" w:rsidRDefault="00174A02" w:rsidP="00E5084A">
            <w:pPr>
              <w:pStyle w:val="Heading1"/>
              <w:keepNext w:val="0"/>
              <w:keepLines w:val="0"/>
              <w:spacing w:before="80" w:after="80"/>
              <w:rPr>
                <w:rFonts w:asciiTheme="minorHAnsi" w:hAnsiTheme="minorHAnsi"/>
                <w:b/>
                <w:sz w:val="24"/>
                <w:szCs w:val="24"/>
              </w:rPr>
            </w:pPr>
            <w:r w:rsidRPr="006F2715">
              <w:rPr>
                <w:rFonts w:asciiTheme="minorHAnsi" w:hAnsiTheme="minorHAnsi"/>
                <w:b/>
                <w:color w:val="FFFFFF" w:themeColor="background1"/>
                <w:sz w:val="24"/>
                <w:szCs w:val="24"/>
              </w:rPr>
              <w:t>SECTION 4 – WORK PRACTICES</w:t>
            </w:r>
          </w:p>
        </w:tc>
      </w:tr>
      <w:tr w:rsidR="0071612A" w:rsidRPr="006F2715" w14:paraId="01D6647D" w14:textId="77777777" w:rsidTr="0071612A">
        <w:trPr>
          <w:trHeight w:val="432"/>
        </w:trPr>
        <w:tc>
          <w:tcPr>
            <w:tcW w:w="10440" w:type="dxa"/>
            <w:gridSpan w:val="2"/>
            <w:shd w:val="clear" w:color="auto" w:fill="FFFFFF" w:themeFill="background1"/>
            <w:vAlign w:val="center"/>
          </w:tcPr>
          <w:p w14:paraId="5BAAE9E4" w14:textId="55CC0840" w:rsidR="00F350F0" w:rsidRPr="006F2715" w:rsidRDefault="00F350F0" w:rsidP="00E5084A">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6F2715">
              <w:rPr>
                <w:rFonts w:asciiTheme="minorHAnsi" w:eastAsia="Times New Roman" w:hAnsiTheme="minorHAnsi" w:cs="Aparajita"/>
                <w:snapToGrid w:val="0"/>
                <w:color w:val="auto"/>
                <w:sz w:val="22"/>
                <w:szCs w:val="22"/>
              </w:rPr>
              <w:t xml:space="preserve">All containers of </w:t>
            </w:r>
            <w:r w:rsidR="00CE7BEE" w:rsidRPr="006F2715">
              <w:rPr>
                <w:rFonts w:asciiTheme="minorHAnsi" w:eastAsia="Times New Roman" w:hAnsiTheme="minorHAnsi" w:cs="Aparajita"/>
                <w:snapToGrid w:val="0"/>
                <w:color w:val="auto"/>
                <w:sz w:val="22"/>
                <w:szCs w:val="22"/>
              </w:rPr>
              <w:t>strong acids</w:t>
            </w:r>
            <w:r w:rsidRPr="006F2715">
              <w:rPr>
                <w:rFonts w:asciiTheme="minorHAnsi" w:eastAsia="Times New Roman" w:hAnsiTheme="minorHAnsi" w:cs="Aparajita"/>
                <w:snapToGrid w:val="0"/>
                <w:color w:val="auto"/>
                <w:sz w:val="22"/>
                <w:szCs w:val="22"/>
              </w:rPr>
              <w:t xml:space="preserve"> must be clearly labeled with the chemical name and hazard classes and kept tightly-sealed</w:t>
            </w:r>
          </w:p>
          <w:p w14:paraId="0527621D" w14:textId="42D31CD1" w:rsidR="00E0236B" w:rsidRPr="006F2715" w:rsidRDefault="00CE7BEE" w:rsidP="00E5084A">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6F2715">
              <w:rPr>
                <w:rFonts w:asciiTheme="minorHAnsi" w:eastAsia="Times New Roman" w:hAnsiTheme="minorHAnsi" w:cs="Aparajita"/>
                <w:snapToGrid w:val="0"/>
                <w:color w:val="auto"/>
                <w:sz w:val="22"/>
                <w:szCs w:val="22"/>
              </w:rPr>
              <w:t>Do not allow water to get into the contain</w:t>
            </w:r>
            <w:r w:rsidR="00E0236B" w:rsidRPr="006F2715">
              <w:rPr>
                <w:rFonts w:asciiTheme="minorHAnsi" w:eastAsia="Times New Roman" w:hAnsiTheme="minorHAnsi" w:cs="Aparajita"/>
                <w:snapToGrid w:val="0"/>
                <w:color w:val="auto"/>
                <w:sz w:val="22"/>
                <w:szCs w:val="22"/>
              </w:rPr>
              <w:t>er</w:t>
            </w:r>
            <w:r w:rsidR="00F716E8" w:rsidRPr="006F2715">
              <w:rPr>
                <w:rFonts w:asciiTheme="minorHAnsi" w:eastAsia="Times New Roman" w:hAnsiTheme="minorHAnsi" w:cs="Aparajita"/>
                <w:snapToGrid w:val="0"/>
                <w:color w:val="auto"/>
                <w:sz w:val="22"/>
                <w:szCs w:val="22"/>
              </w:rPr>
              <w:t>s of all acids but particularly H</w:t>
            </w:r>
            <w:r w:rsidR="00F716E8" w:rsidRPr="006F2715">
              <w:rPr>
                <w:rFonts w:asciiTheme="minorHAnsi" w:eastAsia="Times New Roman" w:hAnsiTheme="minorHAnsi" w:cs="Aparajita"/>
                <w:snapToGrid w:val="0"/>
                <w:color w:val="auto"/>
                <w:sz w:val="22"/>
                <w:szCs w:val="22"/>
                <w:vertAlign w:val="subscript"/>
              </w:rPr>
              <w:t>2</w:t>
            </w:r>
            <w:r w:rsidR="00F716E8" w:rsidRPr="006F2715">
              <w:rPr>
                <w:rFonts w:asciiTheme="minorHAnsi" w:eastAsia="Times New Roman" w:hAnsiTheme="minorHAnsi" w:cs="Aparajita"/>
                <w:snapToGrid w:val="0"/>
                <w:color w:val="auto"/>
                <w:sz w:val="22"/>
                <w:szCs w:val="22"/>
              </w:rPr>
              <w:t>SO</w:t>
            </w:r>
            <w:r w:rsidR="00F716E8" w:rsidRPr="006F2715">
              <w:rPr>
                <w:rFonts w:asciiTheme="minorHAnsi" w:eastAsia="Times New Roman" w:hAnsiTheme="minorHAnsi" w:cs="Aparajita"/>
                <w:snapToGrid w:val="0"/>
                <w:color w:val="auto"/>
                <w:sz w:val="22"/>
                <w:szCs w:val="22"/>
                <w:vertAlign w:val="subscript"/>
              </w:rPr>
              <w:t>4</w:t>
            </w:r>
            <w:r w:rsidR="00E0236B" w:rsidRPr="006F2715">
              <w:rPr>
                <w:rFonts w:asciiTheme="minorHAnsi" w:eastAsia="Times New Roman" w:hAnsiTheme="minorHAnsi" w:cs="Aparajita"/>
                <w:snapToGrid w:val="0"/>
                <w:color w:val="auto"/>
                <w:sz w:val="22"/>
                <w:szCs w:val="22"/>
              </w:rPr>
              <w:t xml:space="preserve"> because of </w:t>
            </w:r>
            <w:r w:rsidR="00F716E8" w:rsidRPr="006F2715">
              <w:rPr>
                <w:rFonts w:asciiTheme="minorHAnsi" w:eastAsia="Times New Roman" w:hAnsiTheme="minorHAnsi" w:cs="Aparajita"/>
                <w:snapToGrid w:val="0"/>
                <w:color w:val="auto"/>
                <w:sz w:val="22"/>
                <w:szCs w:val="22"/>
              </w:rPr>
              <w:t xml:space="preserve">the strongly exothermic heat of dilution </w:t>
            </w:r>
          </w:p>
          <w:p w14:paraId="5BE81BEA" w14:textId="52EB9753" w:rsidR="00CE7BEE" w:rsidRPr="006F2715" w:rsidRDefault="00CE7BEE" w:rsidP="00E5084A">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6F2715">
              <w:rPr>
                <w:rFonts w:asciiTheme="minorHAnsi" w:eastAsia="Times New Roman" w:hAnsiTheme="minorHAnsi" w:cs="Aparajita"/>
                <w:snapToGrid w:val="0"/>
                <w:color w:val="auto"/>
                <w:sz w:val="22"/>
                <w:szCs w:val="22"/>
              </w:rPr>
              <w:t>Use only with adequate ventilation</w:t>
            </w:r>
          </w:p>
          <w:p w14:paraId="5EF15264" w14:textId="3ECC38C6" w:rsidR="00CE7BEE" w:rsidRPr="006F2715" w:rsidRDefault="00CE7BEE" w:rsidP="00E5084A">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6F2715">
              <w:rPr>
                <w:rFonts w:asciiTheme="minorHAnsi" w:eastAsia="Times New Roman" w:hAnsiTheme="minorHAnsi" w:cs="Aparajita"/>
                <w:snapToGrid w:val="0"/>
                <w:color w:val="auto"/>
                <w:sz w:val="22"/>
                <w:szCs w:val="22"/>
              </w:rPr>
              <w:t>Do not breathe spray or mist</w:t>
            </w:r>
          </w:p>
          <w:p w14:paraId="5E338D8A" w14:textId="70AF5FB4" w:rsidR="00CE7BEE" w:rsidRPr="006F2715" w:rsidRDefault="00CE7BEE" w:rsidP="00E5084A">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6F2715">
              <w:rPr>
                <w:rFonts w:asciiTheme="minorHAnsi" w:eastAsia="Times New Roman" w:hAnsiTheme="minorHAnsi" w:cs="Aparajita"/>
                <w:snapToGrid w:val="0"/>
                <w:color w:val="auto"/>
                <w:sz w:val="22"/>
                <w:szCs w:val="22"/>
              </w:rPr>
              <w:t>Do not use with metal</w:t>
            </w:r>
            <w:r w:rsidR="00F716E8" w:rsidRPr="006F2715">
              <w:rPr>
                <w:rFonts w:asciiTheme="minorHAnsi" w:eastAsia="Times New Roman" w:hAnsiTheme="minorHAnsi" w:cs="Aparajita"/>
                <w:snapToGrid w:val="0"/>
                <w:color w:val="auto"/>
                <w:sz w:val="22"/>
                <w:szCs w:val="22"/>
              </w:rPr>
              <w:t xml:space="preserve"> spatula or other metal items </w:t>
            </w:r>
          </w:p>
          <w:p w14:paraId="7AC9D5B9" w14:textId="50340268" w:rsidR="00CE7BEE" w:rsidRPr="006F2715" w:rsidRDefault="00CE7BEE" w:rsidP="00E5084A">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6F2715">
              <w:rPr>
                <w:rFonts w:asciiTheme="minorHAnsi" w:eastAsia="Times New Roman" w:hAnsiTheme="minorHAnsi" w:cs="Aparajita"/>
                <w:snapToGrid w:val="0"/>
                <w:color w:val="auto"/>
                <w:sz w:val="22"/>
                <w:szCs w:val="22"/>
              </w:rPr>
              <w:t>When diluting acids, always ad</w:t>
            </w:r>
            <w:r w:rsidR="00E0236B" w:rsidRPr="006F2715">
              <w:rPr>
                <w:rFonts w:asciiTheme="minorHAnsi" w:eastAsia="Times New Roman" w:hAnsiTheme="minorHAnsi" w:cs="Aparajita"/>
                <w:snapToGrid w:val="0"/>
                <w:color w:val="auto"/>
                <w:sz w:val="22"/>
                <w:szCs w:val="22"/>
              </w:rPr>
              <w:t>d acid (slowly) to cooled water</w:t>
            </w:r>
            <w:r w:rsidRPr="006F2715">
              <w:rPr>
                <w:rFonts w:asciiTheme="minorHAnsi" w:eastAsia="Times New Roman" w:hAnsiTheme="minorHAnsi" w:cs="Aparajita"/>
                <w:snapToGrid w:val="0"/>
                <w:color w:val="auto"/>
                <w:sz w:val="22"/>
                <w:szCs w:val="22"/>
              </w:rPr>
              <w:t xml:space="preserve"> </w:t>
            </w:r>
            <w:r w:rsidR="00E0236B" w:rsidRPr="006F2715">
              <w:rPr>
                <w:rFonts w:asciiTheme="minorHAnsi" w:eastAsia="Times New Roman" w:hAnsiTheme="minorHAnsi" w:cs="Aparajita"/>
                <w:b/>
                <w:bCs/>
                <w:snapToGrid w:val="0"/>
                <w:color w:val="auto"/>
                <w:sz w:val="22"/>
                <w:szCs w:val="22"/>
              </w:rPr>
              <w:t>(</w:t>
            </w:r>
            <w:r w:rsidRPr="006F2715">
              <w:rPr>
                <w:rFonts w:asciiTheme="minorHAnsi" w:eastAsia="Times New Roman" w:hAnsiTheme="minorHAnsi" w:cs="Aparajita"/>
                <w:b/>
                <w:bCs/>
                <w:snapToGrid w:val="0"/>
                <w:color w:val="auto"/>
                <w:sz w:val="22"/>
                <w:szCs w:val="22"/>
              </w:rPr>
              <w:t>Never add water to acid</w:t>
            </w:r>
            <w:r w:rsidR="00E0236B" w:rsidRPr="006F2715">
              <w:rPr>
                <w:rFonts w:asciiTheme="minorHAnsi" w:eastAsia="Times New Roman" w:hAnsiTheme="minorHAnsi" w:cs="Aparajita"/>
                <w:b/>
                <w:bCs/>
                <w:snapToGrid w:val="0"/>
                <w:color w:val="auto"/>
                <w:sz w:val="22"/>
                <w:szCs w:val="22"/>
              </w:rPr>
              <w:t>)</w:t>
            </w:r>
          </w:p>
          <w:p w14:paraId="777C97BF" w14:textId="584B6158" w:rsidR="000570F1" w:rsidRPr="006F2715" w:rsidRDefault="00CE7BEE" w:rsidP="00F716E8">
            <w:pPr>
              <w:pStyle w:val="Heading1"/>
              <w:keepNext w:val="0"/>
              <w:keepLines w:val="0"/>
              <w:widowControl w:val="0"/>
              <w:numPr>
                <w:ilvl w:val="0"/>
                <w:numId w:val="11"/>
              </w:numPr>
              <w:spacing w:before="80" w:after="80" w:line="240" w:lineRule="auto"/>
              <w:contextualSpacing/>
              <w:rPr>
                <w:rFonts w:asciiTheme="minorHAnsi" w:eastAsia="Times New Roman" w:hAnsiTheme="minorHAnsi" w:cs="Aparajita"/>
                <w:snapToGrid w:val="0"/>
                <w:color w:val="auto"/>
                <w:sz w:val="22"/>
                <w:szCs w:val="22"/>
              </w:rPr>
            </w:pPr>
            <w:r w:rsidRPr="006F2715">
              <w:rPr>
                <w:rFonts w:asciiTheme="minorHAnsi" w:eastAsia="Times New Roman" w:hAnsiTheme="minorHAnsi" w:cs="Aparajita"/>
                <w:snapToGrid w:val="0"/>
                <w:color w:val="auto"/>
                <w:sz w:val="22"/>
                <w:szCs w:val="22"/>
              </w:rPr>
              <w:t>Strong acids may react with some metals to produce hydrogen gas, which is flammable</w:t>
            </w:r>
            <w:r w:rsidR="00F716E8" w:rsidRPr="006F2715">
              <w:rPr>
                <w:rFonts w:asciiTheme="minorHAnsi" w:eastAsia="Times New Roman" w:hAnsiTheme="minorHAnsi" w:cs="Aparajita"/>
                <w:snapToGrid w:val="0"/>
                <w:color w:val="auto"/>
                <w:sz w:val="22"/>
                <w:szCs w:val="22"/>
              </w:rPr>
              <w:t>/</w:t>
            </w:r>
            <w:r w:rsidRPr="006F2715">
              <w:rPr>
                <w:rFonts w:asciiTheme="minorHAnsi" w:eastAsia="Times New Roman" w:hAnsiTheme="minorHAnsi" w:cs="Aparajita"/>
                <w:snapToGrid w:val="0"/>
                <w:color w:val="auto"/>
                <w:sz w:val="22"/>
                <w:szCs w:val="22"/>
              </w:rPr>
              <w:t>explosive</w:t>
            </w:r>
          </w:p>
        </w:tc>
      </w:tr>
      <w:tr w:rsidR="0071612A" w:rsidRPr="006F2715" w14:paraId="764142B0" w14:textId="77777777" w:rsidTr="0071612A">
        <w:trPr>
          <w:trHeight w:val="432"/>
        </w:trPr>
        <w:tc>
          <w:tcPr>
            <w:tcW w:w="10440" w:type="dxa"/>
            <w:gridSpan w:val="2"/>
            <w:shd w:val="clear" w:color="auto" w:fill="000E2F"/>
            <w:vAlign w:val="center"/>
          </w:tcPr>
          <w:p w14:paraId="18D9CAAE" w14:textId="77777777" w:rsidR="00842745" w:rsidRPr="006F2715" w:rsidRDefault="00174A02" w:rsidP="00C76674">
            <w:pPr>
              <w:pStyle w:val="Heading1"/>
              <w:spacing w:before="80" w:after="80"/>
              <w:rPr>
                <w:rFonts w:asciiTheme="minorHAnsi" w:hAnsiTheme="minorHAnsi"/>
                <w:b/>
                <w:sz w:val="24"/>
                <w:szCs w:val="24"/>
              </w:rPr>
            </w:pPr>
            <w:r w:rsidRPr="006F2715">
              <w:rPr>
                <w:rFonts w:asciiTheme="minorHAnsi" w:hAnsiTheme="minorHAnsi"/>
                <w:b/>
                <w:color w:val="FFFFFF" w:themeColor="background1"/>
                <w:sz w:val="24"/>
                <w:szCs w:val="24"/>
              </w:rPr>
              <w:lastRenderedPageBreak/>
              <w:t>SECTION 5 – PERSONAL PROTECTIVE EQUIPMENT (PPE)</w:t>
            </w:r>
          </w:p>
        </w:tc>
      </w:tr>
      <w:tr w:rsidR="0071612A" w:rsidRPr="006F2715" w14:paraId="123B6F6C" w14:textId="77777777" w:rsidTr="0071612A">
        <w:trPr>
          <w:trHeight w:val="432"/>
        </w:trPr>
        <w:tc>
          <w:tcPr>
            <w:tcW w:w="10440" w:type="dxa"/>
            <w:gridSpan w:val="2"/>
            <w:shd w:val="clear" w:color="auto" w:fill="FFFFFF" w:themeFill="background1"/>
            <w:vAlign w:val="center"/>
          </w:tcPr>
          <w:p w14:paraId="1440CF86" w14:textId="41242A57" w:rsidR="001E2D4E" w:rsidRPr="006F2715" w:rsidRDefault="00E5084A" w:rsidP="006F2715">
            <w:pPr>
              <w:pStyle w:val="ListParagraph"/>
              <w:widowControl w:val="0"/>
              <w:numPr>
                <w:ilvl w:val="0"/>
                <w:numId w:val="10"/>
              </w:numPr>
              <w:spacing w:before="80" w:after="80" w:line="240" w:lineRule="auto"/>
              <w:rPr>
                <w:rFonts w:eastAsia="Times New Roman" w:cs="Aparajita"/>
                <w:snapToGrid w:val="0"/>
              </w:rPr>
            </w:pPr>
            <w:r w:rsidRPr="006F2715">
              <w:rPr>
                <w:rFonts w:eastAsia="Times New Roman" w:cs="Aparajita"/>
                <w:snapToGrid w:val="0"/>
              </w:rPr>
              <w:t xml:space="preserve">At a minimum, a lab coat, long pants as well as closed-toed footwear and chemical safety glasses that meet American National Standards Institute (ANSI) standard Z-87.1 must be worn when handling </w:t>
            </w:r>
            <w:r w:rsidR="001E2D4E" w:rsidRPr="006F2715">
              <w:rPr>
                <w:rFonts w:eastAsia="Times New Roman" w:cs="Aparajita"/>
                <w:snapToGrid w:val="0"/>
              </w:rPr>
              <w:t>acids</w:t>
            </w:r>
          </w:p>
          <w:p w14:paraId="73348D4F" w14:textId="348CB80B" w:rsidR="00E5084A" w:rsidRPr="006F2715" w:rsidRDefault="00F716E8" w:rsidP="00E5084A">
            <w:pPr>
              <w:pStyle w:val="ListParagraph"/>
              <w:widowControl w:val="0"/>
              <w:numPr>
                <w:ilvl w:val="0"/>
                <w:numId w:val="10"/>
              </w:numPr>
              <w:spacing w:before="80" w:after="80" w:line="240" w:lineRule="auto"/>
              <w:rPr>
                <w:rFonts w:eastAsia="Times New Roman" w:cs="Aparajita"/>
                <w:snapToGrid w:val="0"/>
              </w:rPr>
            </w:pPr>
            <w:r w:rsidRPr="006F2715">
              <w:rPr>
                <w:rFonts w:eastAsia="Times New Roman" w:cs="Aparajita"/>
                <w:snapToGrid w:val="0"/>
              </w:rPr>
              <w:t>Well-fitted c</w:t>
            </w:r>
            <w:r w:rsidR="00E5084A" w:rsidRPr="006F2715">
              <w:rPr>
                <w:rFonts w:eastAsia="Times New Roman" w:cs="Aparajita"/>
                <w:snapToGrid w:val="0"/>
              </w:rPr>
              <w:t xml:space="preserve">hemical splash goggles or a </w:t>
            </w:r>
            <w:r w:rsidR="00F117EF" w:rsidRPr="006F2715">
              <w:rPr>
                <w:rFonts w:eastAsia="Times New Roman" w:cs="Aparajita"/>
                <w:snapToGrid w:val="0"/>
              </w:rPr>
              <w:t>full-face shield</w:t>
            </w:r>
            <w:r w:rsidR="00E5084A" w:rsidRPr="006F2715">
              <w:rPr>
                <w:rFonts w:eastAsia="Times New Roman" w:cs="Aparajita"/>
                <w:snapToGrid w:val="0"/>
              </w:rPr>
              <w:t xml:space="preserve"> are required when handling larger quantities (&gt;500 mL) of the conc. acids</w:t>
            </w:r>
          </w:p>
          <w:p w14:paraId="094A7608" w14:textId="77777777" w:rsidR="00E5084A" w:rsidRPr="006F2715" w:rsidRDefault="00E5084A" w:rsidP="00E5084A">
            <w:pPr>
              <w:pStyle w:val="ListParagraph"/>
              <w:widowControl w:val="0"/>
              <w:numPr>
                <w:ilvl w:val="0"/>
                <w:numId w:val="10"/>
              </w:numPr>
              <w:spacing w:before="80" w:after="80" w:line="240" w:lineRule="auto"/>
              <w:rPr>
                <w:rFonts w:eastAsia="Times New Roman" w:cs="Aparajita"/>
                <w:snapToGrid w:val="0"/>
              </w:rPr>
            </w:pPr>
            <w:r w:rsidRPr="006F2715">
              <w:rPr>
                <w:rFonts w:eastAsia="Times New Roman" w:cs="Aparajita"/>
                <w:snapToGrid w:val="0"/>
              </w:rPr>
              <w:t>Nitrile Gloves must be worn while handling small quantities of the acids</w:t>
            </w:r>
          </w:p>
          <w:p w14:paraId="40A843BD" w14:textId="34803B41" w:rsidR="004A0961" w:rsidRPr="006F2715" w:rsidRDefault="00E5084A" w:rsidP="00E5084A">
            <w:pPr>
              <w:pStyle w:val="ListParagraph"/>
              <w:widowControl w:val="0"/>
              <w:numPr>
                <w:ilvl w:val="0"/>
                <w:numId w:val="10"/>
              </w:numPr>
              <w:spacing w:before="80" w:after="80" w:line="240" w:lineRule="auto"/>
              <w:rPr>
                <w:rFonts w:eastAsia="Times New Roman" w:cs="Aparajita"/>
                <w:snapToGrid w:val="0"/>
              </w:rPr>
            </w:pPr>
            <w:r w:rsidRPr="006F2715">
              <w:rPr>
                <w:rFonts w:eastAsia="Times New Roman" w:cs="Aparajita"/>
                <w:snapToGrid w:val="0"/>
              </w:rPr>
              <w:t xml:space="preserve">Heavier, long-sleeved gloves and an apron are recommended when handling larger quantities of conc. (&gt;500 mL) acids. </w:t>
            </w:r>
          </w:p>
        </w:tc>
      </w:tr>
      <w:tr w:rsidR="0071612A" w:rsidRPr="006F2715" w14:paraId="416D71AD" w14:textId="77777777" w:rsidTr="0071612A">
        <w:trPr>
          <w:trHeight w:val="432"/>
        </w:trPr>
        <w:tc>
          <w:tcPr>
            <w:tcW w:w="10440" w:type="dxa"/>
            <w:gridSpan w:val="2"/>
            <w:shd w:val="clear" w:color="auto" w:fill="000E2F"/>
            <w:vAlign w:val="center"/>
          </w:tcPr>
          <w:p w14:paraId="0D2E39D6" w14:textId="77777777" w:rsidR="00C76674" w:rsidRPr="006F2715" w:rsidRDefault="00174A02" w:rsidP="00C76674">
            <w:pPr>
              <w:pStyle w:val="Heading1"/>
              <w:spacing w:before="80" w:after="80"/>
              <w:rPr>
                <w:rFonts w:asciiTheme="minorHAnsi" w:hAnsiTheme="minorHAnsi"/>
                <w:b/>
                <w:sz w:val="24"/>
                <w:szCs w:val="24"/>
              </w:rPr>
            </w:pPr>
            <w:r w:rsidRPr="006F2715">
              <w:rPr>
                <w:rStyle w:val="A5"/>
                <w:rFonts w:asciiTheme="minorHAnsi" w:hAnsiTheme="minorHAnsi" w:cstheme="majorBidi"/>
                <w:b/>
                <w:color w:val="FFFFFF" w:themeColor="background1"/>
                <w:sz w:val="24"/>
                <w:szCs w:val="24"/>
              </w:rPr>
              <w:t>SECTION 6 – STORAGE</w:t>
            </w:r>
          </w:p>
        </w:tc>
      </w:tr>
      <w:tr w:rsidR="0071612A" w:rsidRPr="006F2715" w14:paraId="3471B34F" w14:textId="77777777" w:rsidTr="0071612A">
        <w:trPr>
          <w:trHeight w:val="432"/>
        </w:trPr>
        <w:tc>
          <w:tcPr>
            <w:tcW w:w="10440" w:type="dxa"/>
            <w:gridSpan w:val="2"/>
            <w:shd w:val="clear" w:color="auto" w:fill="FFFFFF" w:themeFill="background1"/>
            <w:vAlign w:val="center"/>
          </w:tcPr>
          <w:p w14:paraId="1788C5AC" w14:textId="064524D3" w:rsidR="00E5084A" w:rsidRPr="006F2715" w:rsidRDefault="00E5084A" w:rsidP="00E5084A">
            <w:pPr>
              <w:pStyle w:val="ListParagraph"/>
              <w:widowControl w:val="0"/>
              <w:numPr>
                <w:ilvl w:val="0"/>
                <w:numId w:val="27"/>
              </w:numPr>
              <w:spacing w:before="80" w:after="80" w:line="240" w:lineRule="auto"/>
              <w:rPr>
                <w:rFonts w:eastAsia="Times New Roman" w:cs="Aparajita"/>
                <w:snapToGrid w:val="0"/>
              </w:rPr>
            </w:pPr>
            <w:r w:rsidRPr="006F2715">
              <w:rPr>
                <w:rFonts w:eastAsia="Times New Roman" w:cs="Aparajita"/>
                <w:snapToGrid w:val="0"/>
              </w:rPr>
              <w:t xml:space="preserve">Store </w:t>
            </w:r>
            <w:r w:rsidR="006E285F" w:rsidRPr="006F2715">
              <w:rPr>
                <w:rFonts w:eastAsia="Times New Roman" w:cs="Aparajita"/>
                <w:snapToGrid w:val="0"/>
              </w:rPr>
              <w:t>acids</w:t>
            </w:r>
            <w:r w:rsidRPr="006F2715">
              <w:rPr>
                <w:rFonts w:eastAsia="Times New Roman" w:cs="Aparajita"/>
                <w:snapToGrid w:val="0"/>
              </w:rPr>
              <w:t xml:space="preserve"> as indicated in safety data sheets (SDSs): </w:t>
            </w:r>
            <w:hyperlink r:id="rId11" w:history="1">
              <w:r w:rsidRPr="006F2715">
                <w:rPr>
                  <w:rStyle w:val="Hyperlink"/>
                  <w:rFonts w:eastAsia="Times New Roman" w:cs="Aparajita"/>
                  <w:snapToGrid w:val="0"/>
                </w:rPr>
                <w:t>http://www.msds.com/</w:t>
              </w:r>
            </w:hyperlink>
          </w:p>
          <w:p w14:paraId="751407F6" w14:textId="77777777" w:rsidR="00E5084A" w:rsidRPr="006F2715" w:rsidRDefault="00E5084A" w:rsidP="00E5084A">
            <w:pPr>
              <w:pStyle w:val="ListParagraph"/>
              <w:numPr>
                <w:ilvl w:val="0"/>
                <w:numId w:val="26"/>
              </w:numPr>
              <w:spacing w:before="80" w:after="80" w:line="240" w:lineRule="auto"/>
              <w:rPr>
                <w:rFonts w:eastAsia="Times New Roman" w:cs="Aparajita"/>
                <w:snapToGrid w:val="0"/>
              </w:rPr>
            </w:pPr>
            <w:r w:rsidRPr="006F2715">
              <w:t>Ensure labels on original bottles remain legible and prominently displayed to identify contents</w:t>
            </w:r>
          </w:p>
          <w:p w14:paraId="4F323A8C" w14:textId="77777777" w:rsidR="00E5084A" w:rsidRPr="006F2715" w:rsidRDefault="00E5084A" w:rsidP="00E5084A">
            <w:pPr>
              <w:pStyle w:val="ListParagraph"/>
              <w:widowControl w:val="0"/>
              <w:numPr>
                <w:ilvl w:val="0"/>
                <w:numId w:val="8"/>
              </w:numPr>
              <w:spacing w:before="80" w:after="80" w:line="240" w:lineRule="auto"/>
              <w:rPr>
                <w:rFonts w:eastAsia="Times New Roman" w:cs="Aparajita"/>
                <w:snapToGrid w:val="0"/>
              </w:rPr>
            </w:pPr>
            <w:r w:rsidRPr="006F2715">
              <w:t>Ensure both original and secondary containers remain intact and are stored with tight-fitting caps or lids</w:t>
            </w:r>
          </w:p>
          <w:p w14:paraId="43BB0CEA" w14:textId="54FCDA09" w:rsidR="00F350F0" w:rsidRPr="006F2715" w:rsidRDefault="00F350F0" w:rsidP="00E5084A">
            <w:pPr>
              <w:pStyle w:val="ListParagraph"/>
              <w:widowControl w:val="0"/>
              <w:numPr>
                <w:ilvl w:val="0"/>
                <w:numId w:val="8"/>
              </w:numPr>
              <w:spacing w:before="80" w:after="80" w:line="240" w:lineRule="auto"/>
              <w:rPr>
                <w:rFonts w:eastAsia="Times New Roman" w:cs="Aparajita"/>
                <w:snapToGrid w:val="0"/>
              </w:rPr>
            </w:pPr>
            <w:r w:rsidRPr="006F2715">
              <w:rPr>
                <w:rFonts w:eastAsia="Times New Roman" w:cs="Aparajita"/>
                <w:snapToGrid w:val="0"/>
              </w:rPr>
              <w:t>Keep co</w:t>
            </w:r>
            <w:r w:rsidR="00CE7BEE" w:rsidRPr="006F2715">
              <w:rPr>
                <w:rFonts w:eastAsia="Times New Roman" w:cs="Aparajita"/>
                <w:snapToGrid w:val="0"/>
              </w:rPr>
              <w:t>ntainer closed when not in use</w:t>
            </w:r>
          </w:p>
          <w:p w14:paraId="0345688F" w14:textId="577948C5" w:rsidR="00E5084A" w:rsidRPr="006F2715" w:rsidRDefault="00F35344" w:rsidP="003E3343">
            <w:pPr>
              <w:pStyle w:val="ListParagraph"/>
              <w:widowControl w:val="0"/>
              <w:numPr>
                <w:ilvl w:val="0"/>
                <w:numId w:val="8"/>
              </w:numPr>
              <w:spacing w:before="80" w:after="80" w:line="240" w:lineRule="auto"/>
              <w:rPr>
                <w:rFonts w:eastAsia="Times New Roman" w:cs="Aparajita"/>
                <w:snapToGrid w:val="0"/>
              </w:rPr>
            </w:pPr>
            <w:r w:rsidRPr="006F2715">
              <w:rPr>
                <w:rFonts w:eastAsia="Times New Roman" w:cs="Aparajita"/>
                <w:snapToGrid w:val="0"/>
              </w:rPr>
              <w:t xml:space="preserve">The large (&gt;250 mL) bottles of strong acids should be stored in isolation from all other chemicals in an approved acid or corrosives safety cabinet lined with a plastic secondary tray: </w:t>
            </w:r>
            <w:r w:rsidR="00E5084A" w:rsidRPr="006F2715">
              <w:rPr>
                <w:rFonts w:eastAsia="Times New Roman" w:cs="Aparajita"/>
                <w:snapToGrid w:val="0"/>
              </w:rPr>
              <w:t>acid cabinet in R415</w:t>
            </w:r>
          </w:p>
          <w:p w14:paraId="220D2EFC" w14:textId="196C0B7E" w:rsidR="00F350F0" w:rsidRPr="006F2715" w:rsidRDefault="00F350F0" w:rsidP="003E3343">
            <w:pPr>
              <w:pStyle w:val="ListParagraph"/>
              <w:widowControl w:val="0"/>
              <w:numPr>
                <w:ilvl w:val="0"/>
                <w:numId w:val="8"/>
              </w:numPr>
              <w:spacing w:before="80" w:after="80" w:line="240" w:lineRule="auto"/>
              <w:rPr>
                <w:rFonts w:eastAsia="Times New Roman" w:cs="Aparajita"/>
                <w:snapToGrid w:val="0"/>
              </w:rPr>
            </w:pPr>
            <w:r w:rsidRPr="006F2715">
              <w:rPr>
                <w:rFonts w:eastAsia="Times New Roman" w:cs="Aparajita"/>
                <w:snapToGrid w:val="0"/>
              </w:rPr>
              <w:t xml:space="preserve">Do not </w:t>
            </w:r>
            <w:r w:rsidR="00CE7BEE" w:rsidRPr="006F2715">
              <w:rPr>
                <w:rFonts w:eastAsia="Times New Roman" w:cs="Aparajita"/>
                <w:snapToGrid w:val="0"/>
              </w:rPr>
              <w:t>store near alkaline substances</w:t>
            </w:r>
          </w:p>
          <w:p w14:paraId="1EAED6C3" w14:textId="616FB7D3" w:rsidR="004A0961" w:rsidRPr="006F2715" w:rsidRDefault="00F350F0" w:rsidP="00F35344">
            <w:pPr>
              <w:pStyle w:val="ListParagraph"/>
              <w:widowControl w:val="0"/>
              <w:numPr>
                <w:ilvl w:val="0"/>
                <w:numId w:val="8"/>
              </w:numPr>
              <w:spacing w:before="80" w:after="80" w:line="240" w:lineRule="auto"/>
              <w:rPr>
                <w:rFonts w:eastAsia="Times New Roman" w:cs="Aparajita"/>
                <w:snapToGrid w:val="0"/>
              </w:rPr>
            </w:pPr>
            <w:r w:rsidRPr="006F2715">
              <w:rPr>
                <w:rFonts w:eastAsia="Times New Roman" w:cs="Aparajita"/>
                <w:snapToGrid w:val="0"/>
              </w:rPr>
              <w:t xml:space="preserve">Strong acids </w:t>
            </w:r>
            <w:r w:rsidR="00F35344" w:rsidRPr="006F2715">
              <w:rPr>
                <w:rFonts w:eastAsia="Times New Roman" w:cs="Aparajita"/>
                <w:snapToGrid w:val="0"/>
              </w:rPr>
              <w:t>are</w:t>
            </w:r>
            <w:r w:rsidRPr="006F2715">
              <w:rPr>
                <w:rFonts w:eastAsia="Times New Roman" w:cs="Aparajita"/>
                <w:snapToGrid w:val="0"/>
              </w:rPr>
              <w:t xml:space="preserve"> incompatible with metals, oxidizing agents, reducing agents, bases, acrylonitrile, chlorates, finely powdered metals, nitrates, perchlorates, permanganates, carbides, fulminates, </w:t>
            </w:r>
            <w:proofErr w:type="spellStart"/>
            <w:r w:rsidRPr="006F2715">
              <w:rPr>
                <w:rFonts w:eastAsia="Times New Roman" w:cs="Aparajita"/>
                <w:snapToGrid w:val="0"/>
              </w:rPr>
              <w:t>picrates</w:t>
            </w:r>
            <w:proofErr w:type="spellEnd"/>
            <w:r w:rsidRPr="006F2715">
              <w:rPr>
                <w:rFonts w:eastAsia="Times New Roman" w:cs="Aparajita"/>
                <w:snapToGrid w:val="0"/>
              </w:rPr>
              <w:t>, organic materials.  This list is representative and may not be comprehensive</w:t>
            </w:r>
          </w:p>
        </w:tc>
      </w:tr>
      <w:tr w:rsidR="0071612A" w:rsidRPr="006F2715" w14:paraId="4641B65A" w14:textId="77777777" w:rsidTr="0071612A">
        <w:trPr>
          <w:trHeight w:val="432"/>
        </w:trPr>
        <w:tc>
          <w:tcPr>
            <w:tcW w:w="10440" w:type="dxa"/>
            <w:gridSpan w:val="2"/>
            <w:shd w:val="clear" w:color="auto" w:fill="000E2F"/>
            <w:vAlign w:val="center"/>
          </w:tcPr>
          <w:p w14:paraId="08F8A795" w14:textId="77777777" w:rsidR="00C76674" w:rsidRPr="006F2715" w:rsidRDefault="00174A02" w:rsidP="00C76674">
            <w:pPr>
              <w:pStyle w:val="Heading1"/>
              <w:spacing w:before="80" w:after="80" w:line="240" w:lineRule="auto"/>
              <w:rPr>
                <w:rFonts w:asciiTheme="minorHAnsi" w:hAnsiTheme="minorHAnsi"/>
                <w:b/>
                <w:sz w:val="24"/>
                <w:szCs w:val="24"/>
              </w:rPr>
            </w:pPr>
            <w:r w:rsidRPr="006F2715">
              <w:rPr>
                <w:rFonts w:asciiTheme="minorHAnsi" w:hAnsiTheme="minorHAnsi"/>
                <w:b/>
                <w:color w:val="FFFFFF" w:themeColor="background1"/>
                <w:sz w:val="24"/>
                <w:szCs w:val="24"/>
              </w:rPr>
              <w:t>SECTION 7 – SPILL AND ACCIDENT PROCEDURES</w:t>
            </w:r>
          </w:p>
        </w:tc>
      </w:tr>
      <w:tr w:rsidR="0071612A" w:rsidRPr="006F2715" w14:paraId="52ABE61B" w14:textId="77777777" w:rsidTr="0071612A">
        <w:trPr>
          <w:trHeight w:val="432"/>
        </w:trPr>
        <w:tc>
          <w:tcPr>
            <w:tcW w:w="10440" w:type="dxa"/>
            <w:gridSpan w:val="2"/>
            <w:shd w:val="clear" w:color="auto" w:fill="FFFFFF" w:themeFill="background1"/>
            <w:vAlign w:val="center"/>
          </w:tcPr>
          <w:p w14:paraId="2097CAE7" w14:textId="760AE453" w:rsidR="00F35344" w:rsidRPr="006F2715" w:rsidRDefault="00F35344" w:rsidP="00F35344">
            <w:pPr>
              <w:pStyle w:val="ListParagraph"/>
              <w:numPr>
                <w:ilvl w:val="0"/>
                <w:numId w:val="26"/>
              </w:numPr>
              <w:shd w:val="clear" w:color="auto" w:fill="FFFFFF"/>
              <w:spacing w:before="80" w:after="80" w:line="240" w:lineRule="auto"/>
              <w:outlineLvl w:val="1"/>
              <w:rPr>
                <w:rFonts w:cs="Aparajita"/>
                <w:color w:val="000000"/>
                <w:shd w:val="clear" w:color="auto" w:fill="FFFFFF"/>
              </w:rPr>
            </w:pPr>
            <w:r w:rsidRPr="006F2715">
              <w:rPr>
                <w:rFonts w:cs="Aparajita"/>
                <w:color w:val="000000"/>
                <w:shd w:val="clear" w:color="auto" w:fill="FFFFFF"/>
              </w:rPr>
              <w:t>If any large (&gt;250 mL) of a conc. acid occurs outside of the fume hood, warn the other occupants in the lab and evacuate the laboratory immediately if the acid is volatile</w:t>
            </w:r>
          </w:p>
          <w:p w14:paraId="7A4FB44A" w14:textId="77777777" w:rsidR="00F35344" w:rsidRPr="006F2715" w:rsidRDefault="00F35344" w:rsidP="00F35344">
            <w:pPr>
              <w:pStyle w:val="ListParagraph"/>
              <w:numPr>
                <w:ilvl w:val="0"/>
                <w:numId w:val="26"/>
              </w:numPr>
              <w:shd w:val="clear" w:color="auto" w:fill="FFFFFF"/>
              <w:spacing w:before="80" w:after="80" w:line="240" w:lineRule="auto"/>
              <w:outlineLvl w:val="1"/>
              <w:rPr>
                <w:rFonts w:cs="Aparajita"/>
                <w:color w:val="000000"/>
                <w:shd w:val="clear" w:color="auto" w:fill="FFFFFF"/>
              </w:rPr>
            </w:pPr>
            <w:r w:rsidRPr="006F2715">
              <w:rPr>
                <w:rFonts w:cs="Aparajita"/>
                <w:color w:val="000000"/>
                <w:shd w:val="clear" w:color="auto" w:fill="FFFFFF"/>
              </w:rPr>
              <w:t>Close door(s) to lab and post a “</w:t>
            </w:r>
            <w:r w:rsidRPr="006F2715">
              <w:rPr>
                <w:rFonts w:cs="Aparajita"/>
                <w:b/>
                <w:color w:val="000000"/>
                <w:shd w:val="clear" w:color="auto" w:fill="FFFFFF"/>
              </w:rPr>
              <w:t>NO ENTRY</w:t>
            </w:r>
            <w:r w:rsidRPr="006F2715">
              <w:rPr>
                <w:rFonts w:cs="Aparajita"/>
                <w:color w:val="000000"/>
                <w:shd w:val="clear" w:color="auto" w:fill="FFFFFF"/>
              </w:rPr>
              <w:t>” sign(s) explicitly mentioning the type of hazard</w:t>
            </w:r>
          </w:p>
          <w:p w14:paraId="3DBB26BF" w14:textId="1AECCE2D" w:rsidR="00F35344" w:rsidRPr="006F2715" w:rsidRDefault="00F35344" w:rsidP="00F35344">
            <w:pPr>
              <w:pStyle w:val="ListParagraph"/>
              <w:numPr>
                <w:ilvl w:val="0"/>
                <w:numId w:val="26"/>
              </w:numPr>
              <w:shd w:val="clear" w:color="auto" w:fill="FFFFFF"/>
              <w:spacing w:before="80" w:after="80" w:line="240" w:lineRule="auto"/>
              <w:outlineLvl w:val="1"/>
              <w:rPr>
                <w:rFonts w:cs="Aparajita"/>
                <w:bCs/>
                <w:color w:val="000000"/>
                <w:shd w:val="clear" w:color="auto" w:fill="FFFFFF"/>
              </w:rPr>
            </w:pPr>
            <w:r w:rsidRPr="006F2715">
              <w:rPr>
                <w:rFonts w:cs="Aparajita"/>
                <w:color w:val="000000"/>
                <w:shd w:val="clear" w:color="auto" w:fill="FFFFFF"/>
              </w:rPr>
              <w:t xml:space="preserve">Activate the fire alarm and call </w:t>
            </w:r>
            <w:r w:rsidRPr="006F2715">
              <w:rPr>
                <w:rFonts w:cs="Aparajita"/>
                <w:b/>
                <w:bCs/>
                <w:shd w:val="clear" w:color="auto" w:fill="FFFFFF"/>
              </w:rPr>
              <w:t>911</w:t>
            </w:r>
            <w:r w:rsidRPr="006F2715">
              <w:rPr>
                <w:rFonts w:cs="Aparajita"/>
                <w:bCs/>
                <w:shd w:val="clear" w:color="auto" w:fill="FFFFFF"/>
              </w:rPr>
              <w:t xml:space="preserve"> in case of a large (&gt;1000 mL) spill outside the fume hood</w:t>
            </w:r>
          </w:p>
          <w:p w14:paraId="4FCA535D" w14:textId="77777777" w:rsidR="00F35344" w:rsidRPr="006F2715" w:rsidRDefault="00F35344" w:rsidP="00F35344">
            <w:pPr>
              <w:pStyle w:val="ListParagraph"/>
              <w:numPr>
                <w:ilvl w:val="0"/>
                <w:numId w:val="26"/>
              </w:numPr>
              <w:shd w:val="clear" w:color="auto" w:fill="FFFFFF"/>
              <w:spacing w:before="80" w:after="80" w:line="240" w:lineRule="auto"/>
              <w:outlineLvl w:val="1"/>
              <w:rPr>
                <w:rFonts w:cs="Aparajita"/>
                <w:bCs/>
                <w:color w:val="000000"/>
                <w:shd w:val="clear" w:color="auto" w:fill="FFFFFF"/>
              </w:rPr>
            </w:pPr>
            <w:r w:rsidRPr="006F2715">
              <w:rPr>
                <w:rFonts w:cs="Aparajita"/>
                <w:color w:val="000000"/>
                <w:shd w:val="clear" w:color="auto" w:fill="FFFFFF"/>
              </w:rPr>
              <w:t>Do not re-enter area until instructed to do so by an emergency personnel</w:t>
            </w:r>
            <w:r w:rsidRPr="006F2715">
              <w:rPr>
                <w:rFonts w:eastAsia="Times New Roman" w:cs="Aparajita"/>
                <w:snapToGrid w:val="0"/>
              </w:rPr>
              <w:t xml:space="preserve"> </w:t>
            </w:r>
          </w:p>
          <w:p w14:paraId="61FD6F83" w14:textId="1FECF8CB" w:rsidR="004A0961" w:rsidRPr="006F2715" w:rsidRDefault="00F35344" w:rsidP="00F35344">
            <w:pPr>
              <w:widowControl w:val="0"/>
              <w:spacing w:before="80" w:after="80" w:line="240" w:lineRule="auto"/>
              <w:rPr>
                <w:rFonts w:eastAsia="Times New Roman" w:cs="Aparajita"/>
                <w:snapToGrid w:val="0"/>
              </w:rPr>
            </w:pPr>
            <w:r w:rsidRPr="006F2715">
              <w:rPr>
                <w:rFonts w:eastAsia="Times New Roman" w:cs="Aparajita"/>
                <w:b/>
                <w:snapToGrid w:val="0"/>
              </w:rPr>
              <w:t xml:space="preserve">Report any incident to the PI </w:t>
            </w:r>
            <w:r w:rsidRPr="006F2715">
              <w:rPr>
                <w:rFonts w:eastAsia="Times New Roman" w:cs="Aparajita"/>
                <w:b/>
                <w:snapToGrid w:val="0"/>
                <w:u w:val="single"/>
              </w:rPr>
              <w:t>and</w:t>
            </w:r>
            <w:r w:rsidRPr="006F2715">
              <w:rPr>
                <w:rFonts w:eastAsia="Times New Roman" w:cs="Aparajita"/>
                <w:b/>
                <w:snapToGrid w:val="0"/>
              </w:rPr>
              <w:t xml:space="preserve"> fill out the </w:t>
            </w:r>
            <w:hyperlink r:id="rId12" w:history="1">
              <w:r w:rsidRPr="006F2715">
                <w:rPr>
                  <w:rStyle w:val="Hyperlink"/>
                  <w:rFonts w:eastAsia="Times New Roman" w:cs="Aparajita"/>
                  <w:b/>
                  <w:snapToGrid w:val="0"/>
                </w:rPr>
                <w:t>accident form</w:t>
              </w:r>
            </w:hyperlink>
          </w:p>
        </w:tc>
      </w:tr>
      <w:tr w:rsidR="0071612A" w:rsidRPr="006F2715" w14:paraId="5F1D8CB0" w14:textId="77777777" w:rsidTr="0071612A">
        <w:trPr>
          <w:trHeight w:val="432"/>
        </w:trPr>
        <w:tc>
          <w:tcPr>
            <w:tcW w:w="10440" w:type="dxa"/>
            <w:gridSpan w:val="2"/>
            <w:shd w:val="clear" w:color="auto" w:fill="000E2F"/>
            <w:vAlign w:val="center"/>
          </w:tcPr>
          <w:p w14:paraId="27A77AC5" w14:textId="77777777" w:rsidR="00C76674" w:rsidRPr="006F2715" w:rsidRDefault="00174A02" w:rsidP="00C76674">
            <w:pPr>
              <w:pStyle w:val="Heading1"/>
              <w:spacing w:before="80" w:after="80" w:line="240" w:lineRule="auto"/>
              <w:rPr>
                <w:rFonts w:asciiTheme="minorHAnsi" w:hAnsiTheme="minorHAnsi"/>
                <w:b/>
                <w:sz w:val="24"/>
                <w:szCs w:val="24"/>
              </w:rPr>
            </w:pPr>
            <w:r w:rsidRPr="006F2715">
              <w:rPr>
                <w:rFonts w:asciiTheme="minorHAnsi" w:hAnsiTheme="minorHAnsi"/>
                <w:b/>
                <w:color w:val="FFFFFF" w:themeColor="background1"/>
                <w:sz w:val="24"/>
                <w:szCs w:val="24"/>
              </w:rPr>
              <w:t>SECTION 8 – FIRST AID PROCEDURES</w:t>
            </w:r>
          </w:p>
        </w:tc>
      </w:tr>
      <w:tr w:rsidR="0071612A" w:rsidRPr="006F2715" w14:paraId="41EFF11B" w14:textId="77777777" w:rsidTr="0071612A">
        <w:trPr>
          <w:trHeight w:val="432"/>
        </w:trPr>
        <w:tc>
          <w:tcPr>
            <w:tcW w:w="10440" w:type="dxa"/>
            <w:gridSpan w:val="2"/>
            <w:shd w:val="clear" w:color="auto" w:fill="FFFFFF" w:themeFill="background1"/>
            <w:vAlign w:val="center"/>
          </w:tcPr>
          <w:p w14:paraId="736AF794" w14:textId="77777777" w:rsidR="00F35344" w:rsidRPr="006F2715" w:rsidRDefault="00F35344" w:rsidP="00F35344">
            <w:pPr>
              <w:widowControl w:val="0"/>
              <w:spacing w:after="0" w:line="240" w:lineRule="auto"/>
              <w:rPr>
                <w:rFonts w:eastAsia="Times New Roman" w:cs="Aparajita"/>
                <w:i/>
                <w:snapToGrid w:val="0"/>
              </w:rPr>
            </w:pPr>
            <w:r w:rsidRPr="006F2715">
              <w:rPr>
                <w:rFonts w:eastAsia="Times New Roman" w:cs="Aparajita"/>
                <w:i/>
                <w:snapToGrid w:val="0"/>
              </w:rPr>
              <w:t>Eyes</w:t>
            </w:r>
          </w:p>
          <w:p w14:paraId="69A8E4C5" w14:textId="77777777" w:rsidR="00F35344" w:rsidRPr="006F2715" w:rsidRDefault="00F35344" w:rsidP="00F35344">
            <w:pPr>
              <w:pStyle w:val="ListParagraph"/>
              <w:widowControl w:val="0"/>
              <w:numPr>
                <w:ilvl w:val="0"/>
                <w:numId w:val="28"/>
              </w:numPr>
              <w:spacing w:after="0" w:line="240" w:lineRule="auto"/>
              <w:ind w:left="714" w:hanging="357"/>
              <w:rPr>
                <w:rFonts w:eastAsia="Times New Roman" w:cs="Aparajita"/>
                <w:snapToGrid w:val="0"/>
              </w:rPr>
            </w:pPr>
            <w:r w:rsidRPr="006F2715">
              <w:rPr>
                <w:rFonts w:eastAsia="Times New Roman" w:cs="Aparajita"/>
                <w:snapToGrid w:val="0"/>
                <w:shd w:val="clear" w:color="auto" w:fill="FFFFFF"/>
              </w:rPr>
              <w:t xml:space="preserve">Immediately move to the eyewash station, hold eyelids open and flush </w:t>
            </w:r>
            <w:r w:rsidRPr="006F2715">
              <w:rPr>
                <w:rFonts w:eastAsia="Times New Roman" w:cs="Aparajita"/>
                <w:snapToGrid w:val="0"/>
              </w:rPr>
              <w:t>with water. Remove contact lenses while flushing (if applicable)</w:t>
            </w:r>
          </w:p>
          <w:p w14:paraId="0F5D4B16" w14:textId="3921ADB5" w:rsidR="00F35344" w:rsidRPr="006F2715" w:rsidRDefault="00F35344" w:rsidP="00F35344">
            <w:pPr>
              <w:pStyle w:val="ListParagraph"/>
              <w:widowControl w:val="0"/>
              <w:numPr>
                <w:ilvl w:val="0"/>
                <w:numId w:val="28"/>
              </w:numPr>
              <w:spacing w:after="0" w:line="240" w:lineRule="auto"/>
              <w:ind w:left="714" w:hanging="357"/>
              <w:rPr>
                <w:rFonts w:eastAsia="Times New Roman" w:cs="Aparajita"/>
                <w:snapToGrid w:val="0"/>
              </w:rPr>
            </w:pPr>
            <w:r w:rsidRPr="006F2715">
              <w:rPr>
                <w:rFonts w:eastAsia="Times New Roman" w:cs="Aparajita"/>
                <w:snapToGrid w:val="0"/>
              </w:rPr>
              <w:t xml:space="preserve">Have another person from the lab dial </w:t>
            </w:r>
            <w:r w:rsidRPr="006F2715">
              <w:rPr>
                <w:rFonts w:eastAsia="Times New Roman" w:cs="Aparajita"/>
                <w:b/>
                <w:snapToGrid w:val="0"/>
              </w:rPr>
              <w:t xml:space="preserve">911 </w:t>
            </w:r>
            <w:r w:rsidRPr="006F2715">
              <w:rPr>
                <w:rFonts w:eastAsia="Times New Roman" w:cs="Aparajita"/>
                <w:snapToGrid w:val="0"/>
              </w:rPr>
              <w:t>and specifically mention specific acid exposure</w:t>
            </w:r>
          </w:p>
          <w:p w14:paraId="09164597" w14:textId="55734E63" w:rsidR="00F35344" w:rsidRPr="006F2715" w:rsidRDefault="00F35344" w:rsidP="00F35344">
            <w:pPr>
              <w:pStyle w:val="ListParagraph"/>
              <w:widowControl w:val="0"/>
              <w:numPr>
                <w:ilvl w:val="0"/>
                <w:numId w:val="28"/>
              </w:numPr>
              <w:spacing w:after="0" w:line="240" w:lineRule="auto"/>
              <w:ind w:left="714" w:hanging="357"/>
              <w:rPr>
                <w:rFonts w:eastAsia="Times New Roman" w:cs="Aparajita"/>
                <w:snapToGrid w:val="0"/>
              </w:rPr>
            </w:pPr>
            <w:r w:rsidRPr="006F2715">
              <w:rPr>
                <w:rFonts w:eastAsia="Times New Roman" w:cs="Aparajita"/>
                <w:snapToGrid w:val="0"/>
              </w:rPr>
              <w:t>Continue flushing the eyes until emergency personnel arrive</w:t>
            </w:r>
          </w:p>
          <w:p w14:paraId="367866FB" w14:textId="77777777" w:rsidR="00F35344" w:rsidRPr="006F2715" w:rsidRDefault="00F35344" w:rsidP="00F35344">
            <w:pPr>
              <w:widowControl w:val="0"/>
              <w:spacing w:after="0" w:line="240" w:lineRule="auto"/>
              <w:rPr>
                <w:rFonts w:eastAsia="Times New Roman" w:cs="Aparajita"/>
                <w:i/>
                <w:snapToGrid w:val="0"/>
              </w:rPr>
            </w:pPr>
            <w:r w:rsidRPr="006F2715">
              <w:rPr>
                <w:rFonts w:eastAsia="Times New Roman" w:cs="Aparajita"/>
                <w:i/>
                <w:snapToGrid w:val="0"/>
              </w:rPr>
              <w:t>Skin</w:t>
            </w:r>
          </w:p>
          <w:p w14:paraId="44137CB5" w14:textId="0740A6E1" w:rsidR="00F35344" w:rsidRPr="006F2715" w:rsidRDefault="00F35344" w:rsidP="00F35344">
            <w:pPr>
              <w:pStyle w:val="ListParagraph"/>
              <w:widowControl w:val="0"/>
              <w:numPr>
                <w:ilvl w:val="0"/>
                <w:numId w:val="29"/>
              </w:numPr>
              <w:spacing w:after="0" w:line="240" w:lineRule="auto"/>
              <w:ind w:left="714" w:hanging="357"/>
              <w:rPr>
                <w:rFonts w:eastAsia="Times New Roman" w:cs="Aparajita"/>
                <w:snapToGrid w:val="0"/>
              </w:rPr>
            </w:pPr>
            <w:r w:rsidRPr="006F2715">
              <w:rPr>
                <w:rFonts w:eastAsia="Times New Roman" w:cs="Aparajita"/>
                <w:snapToGrid w:val="0"/>
                <w:shd w:val="clear" w:color="auto" w:fill="FFFFFF"/>
              </w:rPr>
              <w:t xml:space="preserve">Immediately </w:t>
            </w:r>
            <w:r w:rsidRPr="006F2715">
              <w:rPr>
                <w:rFonts w:eastAsia="Times New Roman" w:cs="Aparajita"/>
                <w:snapToGrid w:val="0"/>
              </w:rPr>
              <w:t>move to safety shower or other water source and begin rinsing affected area(s) with copious amounts of water. Dilutions is the solution!!! Remove contaminated clothing (if applicable) while flushing; safety showers are also in the washrooms but do not use alone in an emergency.</w:t>
            </w:r>
          </w:p>
          <w:p w14:paraId="3AA3F735" w14:textId="38629602" w:rsidR="00F35344" w:rsidRPr="006F2715" w:rsidRDefault="00F35344" w:rsidP="00F35344">
            <w:pPr>
              <w:pStyle w:val="ListParagraph"/>
              <w:widowControl w:val="0"/>
              <w:numPr>
                <w:ilvl w:val="0"/>
                <w:numId w:val="29"/>
              </w:numPr>
              <w:spacing w:after="0" w:line="240" w:lineRule="auto"/>
              <w:ind w:left="714" w:hanging="357"/>
              <w:rPr>
                <w:rFonts w:eastAsia="Times New Roman" w:cs="Aparajita"/>
                <w:snapToGrid w:val="0"/>
              </w:rPr>
            </w:pPr>
            <w:r w:rsidRPr="006F2715">
              <w:rPr>
                <w:rFonts w:eastAsia="Times New Roman" w:cs="Aparajita"/>
                <w:snapToGrid w:val="0"/>
              </w:rPr>
              <w:t xml:space="preserve">Have another person from the lab dial </w:t>
            </w:r>
            <w:r w:rsidRPr="006F2715">
              <w:rPr>
                <w:rFonts w:eastAsia="Times New Roman" w:cs="Aparajita"/>
                <w:b/>
                <w:snapToGrid w:val="0"/>
              </w:rPr>
              <w:t xml:space="preserve">911 </w:t>
            </w:r>
            <w:r w:rsidRPr="006F2715">
              <w:rPr>
                <w:rFonts w:eastAsia="Times New Roman" w:cs="Aparajita"/>
                <w:snapToGrid w:val="0"/>
              </w:rPr>
              <w:t>if intense skin irritation is observed and specifically mention specific acid exposure</w:t>
            </w:r>
          </w:p>
          <w:p w14:paraId="3F4F82B9" w14:textId="763507AE" w:rsidR="00F35344" w:rsidRPr="006F2715" w:rsidRDefault="00F35344" w:rsidP="00F35344">
            <w:pPr>
              <w:pStyle w:val="ListParagraph"/>
              <w:widowControl w:val="0"/>
              <w:numPr>
                <w:ilvl w:val="0"/>
                <w:numId w:val="29"/>
              </w:numPr>
              <w:spacing w:after="0" w:line="240" w:lineRule="auto"/>
              <w:ind w:left="714" w:hanging="357"/>
              <w:rPr>
                <w:rFonts w:eastAsia="Times New Roman" w:cs="Aparajita"/>
                <w:snapToGrid w:val="0"/>
              </w:rPr>
            </w:pPr>
            <w:r w:rsidRPr="006F2715">
              <w:rPr>
                <w:rFonts w:eastAsia="Times New Roman" w:cs="Aparajita"/>
                <w:snapToGrid w:val="0"/>
              </w:rPr>
              <w:t xml:space="preserve">You may </w:t>
            </w:r>
            <w:r w:rsidR="00F716E8" w:rsidRPr="006F2715">
              <w:rPr>
                <w:rFonts w:eastAsia="Times New Roman" w:cs="Aparajita"/>
                <w:snapToGrid w:val="0"/>
              </w:rPr>
              <w:t>use</w:t>
            </w:r>
            <w:r w:rsidRPr="006F2715">
              <w:rPr>
                <w:rFonts w:eastAsia="Times New Roman" w:cs="Aparajita"/>
                <w:snapToGrid w:val="0"/>
              </w:rPr>
              <w:t xml:space="preserve"> dil. aqueous </w:t>
            </w:r>
            <w:r w:rsidR="00F716E8" w:rsidRPr="006F2715">
              <w:rPr>
                <w:rFonts w:eastAsia="Times New Roman" w:cs="Aparajita"/>
                <w:snapToGrid w:val="0"/>
              </w:rPr>
              <w:t>NaHCO</w:t>
            </w:r>
            <w:r w:rsidR="00F716E8" w:rsidRPr="006F2715">
              <w:rPr>
                <w:rFonts w:eastAsia="Times New Roman" w:cs="Aparajita"/>
                <w:snapToGrid w:val="0"/>
                <w:vertAlign w:val="subscript"/>
              </w:rPr>
              <w:t>3</w:t>
            </w:r>
            <w:r w:rsidRPr="006F2715">
              <w:rPr>
                <w:rFonts w:eastAsia="Times New Roman" w:cs="Aparajita"/>
                <w:snapToGrid w:val="0"/>
              </w:rPr>
              <w:t xml:space="preserve"> solution to affected area(s) until emergency personnel arrive</w:t>
            </w:r>
          </w:p>
          <w:p w14:paraId="6856BE35" w14:textId="77777777" w:rsidR="00F35344" w:rsidRPr="006F2715" w:rsidRDefault="00F35344" w:rsidP="00F35344">
            <w:pPr>
              <w:widowControl w:val="0"/>
              <w:spacing w:after="0" w:line="240" w:lineRule="auto"/>
              <w:rPr>
                <w:rFonts w:eastAsia="Times New Roman" w:cs="Aparajita"/>
                <w:i/>
                <w:snapToGrid w:val="0"/>
              </w:rPr>
            </w:pPr>
            <w:r w:rsidRPr="006F2715">
              <w:rPr>
                <w:rFonts w:eastAsia="Times New Roman" w:cs="Aparajita"/>
                <w:i/>
                <w:snapToGrid w:val="0"/>
              </w:rPr>
              <w:t>Ingestion</w:t>
            </w:r>
          </w:p>
          <w:p w14:paraId="62CBF0A3" w14:textId="77777777" w:rsidR="00F35344" w:rsidRPr="006F2715" w:rsidRDefault="00F35344" w:rsidP="00F35344">
            <w:pPr>
              <w:widowControl w:val="0"/>
              <w:numPr>
                <w:ilvl w:val="0"/>
                <w:numId w:val="30"/>
              </w:numPr>
              <w:spacing w:after="0" w:line="240" w:lineRule="auto"/>
              <w:ind w:left="714" w:hanging="357"/>
              <w:contextualSpacing/>
              <w:rPr>
                <w:rFonts w:eastAsia="Times New Roman" w:cs="Aparajita"/>
                <w:snapToGrid w:val="0"/>
              </w:rPr>
            </w:pPr>
            <w:r w:rsidRPr="006F2715">
              <w:t>Immediately rinse the mouth with cold water</w:t>
            </w:r>
          </w:p>
          <w:p w14:paraId="44DB80F2" w14:textId="77777777" w:rsidR="00F35344" w:rsidRPr="006F2715" w:rsidRDefault="00F35344" w:rsidP="00F35344">
            <w:pPr>
              <w:widowControl w:val="0"/>
              <w:numPr>
                <w:ilvl w:val="0"/>
                <w:numId w:val="30"/>
              </w:numPr>
              <w:spacing w:after="0" w:line="240" w:lineRule="auto"/>
              <w:ind w:left="714" w:hanging="357"/>
              <w:contextualSpacing/>
              <w:rPr>
                <w:rFonts w:eastAsia="Times New Roman" w:cs="Aparajita"/>
                <w:bCs/>
                <w:snapToGrid w:val="0"/>
              </w:rPr>
            </w:pPr>
            <w:r w:rsidRPr="006F2715">
              <w:rPr>
                <w:bCs/>
              </w:rPr>
              <w:t>Do NOT induce vomiting</w:t>
            </w:r>
          </w:p>
          <w:p w14:paraId="33EE94B0" w14:textId="3997F8B6" w:rsidR="00F35344" w:rsidRPr="006F2715" w:rsidRDefault="00F35344" w:rsidP="00F35344">
            <w:pPr>
              <w:pStyle w:val="ListParagraph"/>
              <w:widowControl w:val="0"/>
              <w:numPr>
                <w:ilvl w:val="0"/>
                <w:numId w:val="30"/>
              </w:numPr>
              <w:spacing w:after="0" w:line="240" w:lineRule="auto"/>
              <w:ind w:left="714" w:hanging="357"/>
              <w:rPr>
                <w:rFonts w:eastAsia="Times New Roman" w:cs="Aparajita"/>
                <w:snapToGrid w:val="0"/>
              </w:rPr>
            </w:pPr>
            <w:r w:rsidRPr="006F2715">
              <w:rPr>
                <w:rFonts w:eastAsia="Times New Roman" w:cs="Aparajita"/>
                <w:snapToGrid w:val="0"/>
              </w:rPr>
              <w:t xml:space="preserve">Have another person from the lab dial </w:t>
            </w:r>
            <w:r w:rsidRPr="006F2715">
              <w:rPr>
                <w:rFonts w:eastAsia="Times New Roman" w:cs="Aparajita"/>
                <w:b/>
                <w:snapToGrid w:val="0"/>
              </w:rPr>
              <w:t xml:space="preserve">911 </w:t>
            </w:r>
            <w:r w:rsidRPr="006F2715">
              <w:rPr>
                <w:rFonts w:eastAsia="Times New Roman" w:cs="Aparajita"/>
                <w:snapToGrid w:val="0"/>
              </w:rPr>
              <w:t>and specifically mention the specific acid involved</w:t>
            </w:r>
          </w:p>
          <w:p w14:paraId="450B02C8" w14:textId="77777777" w:rsidR="00A46824" w:rsidRDefault="00A46824" w:rsidP="00F35344">
            <w:pPr>
              <w:widowControl w:val="0"/>
              <w:spacing w:after="0" w:line="240" w:lineRule="auto"/>
              <w:rPr>
                <w:rFonts w:eastAsia="Times New Roman" w:cs="Aparajita"/>
                <w:i/>
                <w:snapToGrid w:val="0"/>
              </w:rPr>
            </w:pPr>
          </w:p>
          <w:p w14:paraId="62CAF66F" w14:textId="77777777" w:rsidR="00F35344" w:rsidRPr="006F2715" w:rsidRDefault="00F35344" w:rsidP="00F35344">
            <w:pPr>
              <w:widowControl w:val="0"/>
              <w:spacing w:after="0" w:line="240" w:lineRule="auto"/>
              <w:rPr>
                <w:rFonts w:eastAsia="Times New Roman" w:cs="Aparajita"/>
                <w:i/>
                <w:snapToGrid w:val="0"/>
              </w:rPr>
            </w:pPr>
            <w:bookmarkStart w:id="0" w:name="_GoBack"/>
            <w:bookmarkEnd w:id="0"/>
            <w:r w:rsidRPr="006F2715">
              <w:rPr>
                <w:rFonts w:eastAsia="Times New Roman" w:cs="Aparajita"/>
                <w:i/>
                <w:snapToGrid w:val="0"/>
              </w:rPr>
              <w:lastRenderedPageBreak/>
              <w:t>Inhalation</w:t>
            </w:r>
          </w:p>
          <w:p w14:paraId="1F5CD9A4" w14:textId="77777777" w:rsidR="00F35344" w:rsidRPr="006F2715" w:rsidRDefault="00F35344" w:rsidP="00F35344">
            <w:pPr>
              <w:widowControl w:val="0"/>
              <w:numPr>
                <w:ilvl w:val="0"/>
                <w:numId w:val="31"/>
              </w:numPr>
              <w:spacing w:after="0" w:line="240" w:lineRule="auto"/>
              <w:ind w:left="714" w:hanging="357"/>
              <w:contextualSpacing/>
              <w:rPr>
                <w:rFonts w:eastAsia="Times New Roman" w:cs="Aparajita"/>
                <w:snapToGrid w:val="0"/>
              </w:rPr>
            </w:pPr>
            <w:r w:rsidRPr="006F2715">
              <w:rPr>
                <w:rFonts w:eastAsia="Times New Roman" w:cs="Aparajita"/>
                <w:snapToGrid w:val="0"/>
              </w:rPr>
              <w:t>Move to fresh air</w:t>
            </w:r>
          </w:p>
          <w:p w14:paraId="48162FD6" w14:textId="33E98B7F" w:rsidR="00F35344" w:rsidRPr="006F2715" w:rsidRDefault="00F35344" w:rsidP="00F35344">
            <w:pPr>
              <w:widowControl w:val="0"/>
              <w:numPr>
                <w:ilvl w:val="0"/>
                <w:numId w:val="31"/>
              </w:numPr>
              <w:spacing w:after="0" w:line="240" w:lineRule="auto"/>
              <w:ind w:left="714" w:hanging="357"/>
              <w:contextualSpacing/>
              <w:rPr>
                <w:rFonts w:eastAsia="Times New Roman" w:cs="Aparajita"/>
                <w:snapToGrid w:val="0"/>
              </w:rPr>
            </w:pPr>
            <w:r w:rsidRPr="006F2715">
              <w:rPr>
                <w:rFonts w:eastAsia="Times New Roman" w:cs="Aparajita"/>
                <w:snapToGrid w:val="0"/>
              </w:rPr>
              <w:t xml:space="preserve">Dial </w:t>
            </w:r>
            <w:r w:rsidRPr="006F2715">
              <w:rPr>
                <w:rFonts w:eastAsia="Times New Roman" w:cs="Aparajita"/>
                <w:b/>
                <w:snapToGrid w:val="0"/>
              </w:rPr>
              <w:t>911</w:t>
            </w:r>
            <w:r w:rsidRPr="006F2715">
              <w:rPr>
                <w:rFonts w:eastAsia="Times New Roman" w:cs="Aparajita"/>
                <w:snapToGrid w:val="0"/>
              </w:rPr>
              <w:t xml:space="preserve"> and i</w:t>
            </w:r>
            <w:r w:rsidRPr="006F2715">
              <w:rPr>
                <w:shd w:val="clear" w:color="auto" w:fill="FFFFFF"/>
              </w:rPr>
              <w:t>nform emergency responders that the accident involved</w:t>
            </w:r>
            <w:r w:rsidRPr="006F2715">
              <w:rPr>
                <w:rFonts w:eastAsia="Times New Roman" w:cs="Aparajita"/>
                <w:snapToGrid w:val="0"/>
              </w:rPr>
              <w:t xml:space="preserve"> the specific acid</w:t>
            </w:r>
          </w:p>
          <w:p w14:paraId="0BAB33D4" w14:textId="1635F49E" w:rsidR="004A0961" w:rsidRPr="006F2715" w:rsidRDefault="00F35344" w:rsidP="00F35344">
            <w:pPr>
              <w:pStyle w:val="ListParagraph"/>
              <w:widowControl w:val="0"/>
              <w:numPr>
                <w:ilvl w:val="0"/>
                <w:numId w:val="8"/>
              </w:numPr>
              <w:spacing w:before="80" w:after="80" w:line="240" w:lineRule="auto"/>
              <w:rPr>
                <w:rFonts w:eastAsia="Times New Roman" w:cs="Aparajita"/>
                <w:snapToGrid w:val="0"/>
              </w:rPr>
            </w:pPr>
            <w:r w:rsidRPr="006F2715">
              <w:rPr>
                <w:rFonts w:eastAsia="Times New Roman" w:cs="Aparajita"/>
                <w:b/>
                <w:snapToGrid w:val="0"/>
              </w:rPr>
              <w:t xml:space="preserve">Report any incident to the PI </w:t>
            </w:r>
            <w:r w:rsidRPr="006F2715">
              <w:rPr>
                <w:rFonts w:eastAsia="Times New Roman" w:cs="Aparajita"/>
                <w:b/>
                <w:snapToGrid w:val="0"/>
                <w:u w:val="single"/>
              </w:rPr>
              <w:t>and</w:t>
            </w:r>
            <w:r w:rsidRPr="006F2715">
              <w:rPr>
                <w:rFonts w:eastAsia="Times New Roman" w:cs="Aparajita"/>
                <w:b/>
                <w:snapToGrid w:val="0"/>
              </w:rPr>
              <w:t xml:space="preserve"> fill out the </w:t>
            </w:r>
            <w:hyperlink r:id="rId13" w:history="1">
              <w:r w:rsidRPr="006F2715">
                <w:rPr>
                  <w:rStyle w:val="Hyperlink"/>
                  <w:rFonts w:eastAsia="Times New Roman" w:cs="Aparajita"/>
                  <w:b/>
                  <w:snapToGrid w:val="0"/>
                </w:rPr>
                <w:t>accident form</w:t>
              </w:r>
            </w:hyperlink>
          </w:p>
        </w:tc>
      </w:tr>
      <w:tr w:rsidR="0071612A" w:rsidRPr="006F2715" w14:paraId="2B16C1CC" w14:textId="77777777" w:rsidTr="0071612A">
        <w:trPr>
          <w:trHeight w:val="432"/>
        </w:trPr>
        <w:tc>
          <w:tcPr>
            <w:tcW w:w="10440" w:type="dxa"/>
            <w:gridSpan w:val="2"/>
            <w:shd w:val="clear" w:color="auto" w:fill="000E2F"/>
            <w:vAlign w:val="center"/>
          </w:tcPr>
          <w:p w14:paraId="2D016F47" w14:textId="77777777" w:rsidR="00C76674" w:rsidRPr="006F2715" w:rsidRDefault="00174A02" w:rsidP="00C76674">
            <w:pPr>
              <w:pStyle w:val="Heading1"/>
              <w:spacing w:before="80" w:after="80" w:line="240" w:lineRule="auto"/>
              <w:rPr>
                <w:rFonts w:asciiTheme="minorHAnsi" w:hAnsiTheme="minorHAnsi"/>
                <w:b/>
                <w:sz w:val="24"/>
                <w:szCs w:val="24"/>
              </w:rPr>
            </w:pPr>
            <w:r w:rsidRPr="006F2715">
              <w:rPr>
                <w:rFonts w:asciiTheme="minorHAnsi" w:hAnsiTheme="minorHAnsi"/>
                <w:b/>
                <w:color w:val="FFFFFF" w:themeColor="background1"/>
                <w:sz w:val="24"/>
                <w:szCs w:val="24"/>
              </w:rPr>
              <w:lastRenderedPageBreak/>
              <w:t>SECTION 9 – WASTE MANAGEMENT</w:t>
            </w:r>
          </w:p>
        </w:tc>
      </w:tr>
      <w:tr w:rsidR="0071612A" w:rsidRPr="006F2715" w14:paraId="011DD69F" w14:textId="77777777" w:rsidTr="0071612A">
        <w:trPr>
          <w:trHeight w:val="432"/>
        </w:trPr>
        <w:tc>
          <w:tcPr>
            <w:tcW w:w="10440" w:type="dxa"/>
            <w:gridSpan w:val="2"/>
            <w:shd w:val="clear" w:color="auto" w:fill="FFFFFF" w:themeFill="background1"/>
            <w:vAlign w:val="center"/>
          </w:tcPr>
          <w:p w14:paraId="6A65E3A8" w14:textId="3C61A5BB" w:rsidR="00F35344" w:rsidRPr="006F2715" w:rsidRDefault="00F35344" w:rsidP="00F35344">
            <w:pPr>
              <w:pStyle w:val="ListParagraph"/>
              <w:widowControl w:val="0"/>
              <w:numPr>
                <w:ilvl w:val="0"/>
                <w:numId w:val="19"/>
              </w:numPr>
              <w:spacing w:before="80" w:after="80" w:line="240" w:lineRule="auto"/>
              <w:rPr>
                <w:rFonts w:eastAsia="Times New Roman" w:cs="Aparajita"/>
                <w:snapToGrid w:val="0"/>
              </w:rPr>
            </w:pPr>
            <w:r w:rsidRPr="006F2715">
              <w:rPr>
                <w:rFonts w:eastAsia="Times New Roman" w:cs="Aparajita"/>
                <w:snapToGrid w:val="0"/>
              </w:rPr>
              <w:t>All acid wastes must be labeled with “Hazardous Waste” stickers or tags, use full chemical names to describe the waste (i.e., no chemical abbreviations or symbols), be stored in sturdy containers with tight-fitting caps or lids, and be stored alone or with other compatible chemicals</w:t>
            </w:r>
          </w:p>
          <w:p w14:paraId="61DB8297" w14:textId="77777777" w:rsidR="00F35344" w:rsidRPr="006F2715" w:rsidRDefault="00F35344" w:rsidP="00F35344">
            <w:pPr>
              <w:pStyle w:val="ListParagraph"/>
              <w:widowControl w:val="0"/>
              <w:numPr>
                <w:ilvl w:val="0"/>
                <w:numId w:val="19"/>
              </w:numPr>
              <w:spacing w:before="80" w:after="80" w:line="240" w:lineRule="auto"/>
              <w:rPr>
                <w:rFonts w:eastAsia="Times New Roman" w:cs="Aparajita"/>
                <w:snapToGrid w:val="0"/>
              </w:rPr>
            </w:pPr>
            <w:r w:rsidRPr="006F2715">
              <w:rPr>
                <w:rFonts w:eastAsia="Times New Roman" w:cs="Aparajita"/>
                <w:snapToGrid w:val="0"/>
              </w:rPr>
              <w:t xml:space="preserve">Hazardous wastes must be stored at or near a green “Satellite Accumulation Area” sign prior to disposal by EHS. Once the containers are 80% filled, fill our EH&amp;S chemical </w:t>
            </w:r>
            <w:hyperlink r:id="rId14" w:history="1">
              <w:r w:rsidRPr="006F2715">
                <w:rPr>
                  <w:rStyle w:val="Hyperlink"/>
                  <w:rFonts w:eastAsia="Times New Roman" w:cs="Aparajita"/>
                  <w:snapToGrid w:val="0"/>
                </w:rPr>
                <w:t>waste pickup form</w:t>
              </w:r>
            </w:hyperlink>
          </w:p>
          <w:p w14:paraId="0B2E0FB9" w14:textId="3D2DBD89" w:rsidR="004A0961" w:rsidRPr="006F2715" w:rsidRDefault="00F35344" w:rsidP="00F35344">
            <w:pPr>
              <w:pStyle w:val="ListParagraph"/>
              <w:widowControl w:val="0"/>
              <w:numPr>
                <w:ilvl w:val="0"/>
                <w:numId w:val="19"/>
              </w:numPr>
              <w:spacing w:before="80" w:after="80" w:line="240" w:lineRule="auto"/>
              <w:rPr>
                <w:rFonts w:eastAsia="Times New Roman" w:cs="Aparajita"/>
                <w:snapToGrid w:val="0"/>
              </w:rPr>
            </w:pPr>
            <w:r w:rsidRPr="006F2715">
              <w:rPr>
                <w:rFonts w:eastAsia="Times New Roman" w:cs="Aparajita"/>
                <w:snapToGrid w:val="0"/>
              </w:rPr>
              <w:t xml:space="preserve">The </w:t>
            </w:r>
            <w:hyperlink r:id="rId15" w:history="1">
              <w:r w:rsidRPr="006F2715">
                <w:rPr>
                  <w:rStyle w:val="Hyperlink"/>
                  <w:rFonts w:eastAsia="Times New Roman" w:cs="Aparajita"/>
                  <w:snapToGrid w:val="0"/>
                </w:rPr>
                <w:t>Chemical Waste Disposal Manual</w:t>
              </w:r>
            </w:hyperlink>
            <w:r w:rsidRPr="006F2715">
              <w:rPr>
                <w:rFonts w:eastAsia="Times New Roman" w:cs="Aparajita"/>
                <w:snapToGrid w:val="0"/>
              </w:rPr>
              <w:t xml:space="preserve"> must be used as a reference</w:t>
            </w:r>
          </w:p>
        </w:tc>
      </w:tr>
      <w:tr w:rsidR="0071612A" w:rsidRPr="006F2715" w14:paraId="73B65381" w14:textId="77777777" w:rsidTr="0071612A">
        <w:trPr>
          <w:trHeight w:val="432"/>
        </w:trPr>
        <w:tc>
          <w:tcPr>
            <w:tcW w:w="10440" w:type="dxa"/>
            <w:gridSpan w:val="2"/>
            <w:shd w:val="clear" w:color="auto" w:fill="000E2F"/>
            <w:vAlign w:val="center"/>
          </w:tcPr>
          <w:p w14:paraId="70BF3DE4" w14:textId="77777777" w:rsidR="00C76674" w:rsidRPr="006F2715" w:rsidRDefault="00174A02" w:rsidP="00C76674">
            <w:pPr>
              <w:pStyle w:val="Heading1"/>
              <w:spacing w:before="80" w:after="80"/>
              <w:rPr>
                <w:rFonts w:asciiTheme="minorHAnsi" w:hAnsiTheme="minorHAnsi"/>
                <w:b/>
                <w:sz w:val="24"/>
                <w:szCs w:val="24"/>
              </w:rPr>
            </w:pPr>
            <w:r w:rsidRPr="006F2715">
              <w:rPr>
                <w:rFonts w:asciiTheme="minorHAnsi" w:hAnsiTheme="minorHAnsi"/>
                <w:b/>
                <w:color w:val="F2F2F2" w:themeColor="background1" w:themeShade="F2"/>
                <w:sz w:val="24"/>
                <w:szCs w:val="24"/>
              </w:rPr>
              <w:t>SECTION 10 – DECONTAMINATION PROCEDURES</w:t>
            </w:r>
          </w:p>
        </w:tc>
      </w:tr>
      <w:tr w:rsidR="0071612A" w:rsidRPr="006F2715" w14:paraId="23CC3615" w14:textId="77777777" w:rsidTr="0071612A">
        <w:trPr>
          <w:trHeight w:val="432"/>
        </w:trPr>
        <w:tc>
          <w:tcPr>
            <w:tcW w:w="10440" w:type="dxa"/>
            <w:gridSpan w:val="2"/>
            <w:shd w:val="clear" w:color="auto" w:fill="FFFFFF" w:themeFill="background1"/>
            <w:vAlign w:val="center"/>
          </w:tcPr>
          <w:p w14:paraId="5BF2EDAD" w14:textId="0F3A6923" w:rsidR="004928C6" w:rsidRPr="006F2715" w:rsidRDefault="004928C6" w:rsidP="004928C6">
            <w:pPr>
              <w:widowControl w:val="0"/>
              <w:spacing w:before="80" w:after="80" w:line="240" w:lineRule="auto"/>
              <w:rPr>
                <w:rFonts w:eastAsia="Times New Roman" w:cs="Aparajita"/>
                <w:b/>
                <w:bCs/>
                <w:snapToGrid w:val="0"/>
              </w:rPr>
            </w:pPr>
            <w:r w:rsidRPr="006F2715">
              <w:rPr>
                <w:rFonts w:eastAsia="Times New Roman" w:cs="Aparajita"/>
                <w:b/>
                <w:bCs/>
                <w:snapToGrid w:val="0"/>
              </w:rPr>
              <w:t>Work Area</w:t>
            </w:r>
          </w:p>
          <w:p w14:paraId="74DF8522" w14:textId="1175E9BB" w:rsidR="00F43696" w:rsidRPr="006F2715" w:rsidRDefault="00F43696" w:rsidP="00F35344">
            <w:pPr>
              <w:pStyle w:val="ListParagraph"/>
              <w:widowControl w:val="0"/>
              <w:numPr>
                <w:ilvl w:val="0"/>
                <w:numId w:val="13"/>
              </w:numPr>
              <w:spacing w:before="80" w:after="80" w:line="240" w:lineRule="auto"/>
              <w:rPr>
                <w:rFonts w:eastAsia="Times New Roman" w:cs="Aparajita"/>
                <w:snapToGrid w:val="0"/>
              </w:rPr>
            </w:pPr>
            <w:r w:rsidRPr="006F2715">
              <w:rPr>
                <w:rFonts w:eastAsia="Times New Roman" w:cs="Aparajita"/>
                <w:snapToGrid w:val="0"/>
              </w:rPr>
              <w:t>Decontaminate equipment and bench tops using soap and water</w:t>
            </w:r>
            <w:r w:rsidR="00F35344" w:rsidRPr="006F2715">
              <w:rPr>
                <w:rFonts w:eastAsia="Times New Roman" w:cs="Aparajita"/>
                <w:snapToGrid w:val="0"/>
              </w:rPr>
              <w:t>; a dil. aqueous sodium bicarbonate solution may be used to neutralize the surfaces; check with pH paper</w:t>
            </w:r>
          </w:p>
          <w:p w14:paraId="1ECF68E0" w14:textId="161CD570" w:rsidR="004928C6" w:rsidRPr="006F2715" w:rsidRDefault="00F43696" w:rsidP="00F35344">
            <w:pPr>
              <w:pStyle w:val="ListParagraph"/>
              <w:widowControl w:val="0"/>
              <w:numPr>
                <w:ilvl w:val="0"/>
                <w:numId w:val="13"/>
              </w:numPr>
              <w:spacing w:before="80" w:after="80" w:line="240" w:lineRule="auto"/>
              <w:rPr>
                <w:rFonts w:eastAsia="Times New Roman" w:cs="Aparajita"/>
                <w:snapToGrid w:val="0"/>
              </w:rPr>
            </w:pPr>
            <w:r w:rsidRPr="006F2715">
              <w:rPr>
                <w:rFonts w:eastAsia="Times New Roman" w:cs="Aparajita"/>
                <w:snapToGrid w:val="0"/>
              </w:rPr>
              <w:t xml:space="preserve">Dispose of the spent acids and disposables contaminated with acids as hazardous waste </w:t>
            </w:r>
            <w:r w:rsidR="004928C6" w:rsidRPr="006F2715">
              <w:rPr>
                <w:rFonts w:eastAsia="Times New Roman" w:cs="Aparajita"/>
                <w:snapToGrid w:val="0"/>
              </w:rPr>
              <w:t xml:space="preserve"> </w:t>
            </w:r>
          </w:p>
          <w:p w14:paraId="15F72D4C" w14:textId="77777777" w:rsidR="004928C6" w:rsidRPr="006F2715" w:rsidRDefault="004928C6" w:rsidP="004928C6">
            <w:pPr>
              <w:widowControl w:val="0"/>
              <w:spacing w:before="80" w:after="80" w:line="240" w:lineRule="auto"/>
              <w:rPr>
                <w:rFonts w:eastAsia="Times New Roman" w:cs="Aparajita"/>
                <w:b/>
                <w:bCs/>
                <w:snapToGrid w:val="0"/>
              </w:rPr>
            </w:pPr>
            <w:r w:rsidRPr="006F2715">
              <w:rPr>
                <w:rFonts w:eastAsia="Times New Roman" w:cs="Aparajita"/>
                <w:b/>
                <w:bCs/>
                <w:snapToGrid w:val="0"/>
              </w:rPr>
              <w:t>Personal Hygiene</w:t>
            </w:r>
          </w:p>
          <w:p w14:paraId="469180DE" w14:textId="77777777" w:rsidR="004928C6" w:rsidRPr="006F2715" w:rsidRDefault="004928C6" w:rsidP="00F35344">
            <w:pPr>
              <w:pStyle w:val="ListParagraph"/>
              <w:widowControl w:val="0"/>
              <w:numPr>
                <w:ilvl w:val="0"/>
                <w:numId w:val="13"/>
              </w:numPr>
              <w:spacing w:before="80" w:after="80" w:line="240" w:lineRule="auto"/>
              <w:rPr>
                <w:rFonts w:eastAsia="Times New Roman" w:cs="Aparajita"/>
                <w:snapToGrid w:val="0"/>
              </w:rPr>
            </w:pPr>
            <w:r w:rsidRPr="006F2715">
              <w:rPr>
                <w:rFonts w:eastAsia="Times New Roman" w:cs="Aparajita"/>
                <w:snapToGrid w:val="0"/>
              </w:rPr>
              <w:t>Storage/Consumption of food or beverage is prohibited in all laboratory areas</w:t>
            </w:r>
          </w:p>
          <w:p w14:paraId="67FBABD0" w14:textId="77777777" w:rsidR="00F35344" w:rsidRPr="006F2715" w:rsidRDefault="00F35344" w:rsidP="00F35344">
            <w:pPr>
              <w:pStyle w:val="ListParagraph"/>
              <w:widowControl w:val="0"/>
              <w:numPr>
                <w:ilvl w:val="0"/>
                <w:numId w:val="13"/>
              </w:numPr>
              <w:spacing w:after="0" w:line="240" w:lineRule="auto"/>
              <w:rPr>
                <w:rFonts w:eastAsia="Times New Roman" w:cs="Aparajita"/>
                <w:snapToGrid w:val="0"/>
                <w:color w:val="000000" w:themeColor="text1"/>
              </w:rPr>
            </w:pPr>
            <w:r w:rsidRPr="006F2715">
              <w:rPr>
                <w:rFonts w:eastAsia="Times New Roman" w:cs="Aparajita"/>
                <w:snapToGrid w:val="0"/>
                <w:color w:val="000000" w:themeColor="text1"/>
              </w:rPr>
              <w:t>Use standard chemical hygiene practices regarding PPE (see above).</w:t>
            </w:r>
          </w:p>
          <w:p w14:paraId="3ABD678D" w14:textId="77777777" w:rsidR="004A0961" w:rsidRPr="006F2715" w:rsidRDefault="00F35344" w:rsidP="00F35344">
            <w:pPr>
              <w:pStyle w:val="ListParagraph"/>
              <w:widowControl w:val="0"/>
              <w:numPr>
                <w:ilvl w:val="0"/>
                <w:numId w:val="13"/>
              </w:numPr>
              <w:spacing w:before="80" w:after="80" w:line="240" w:lineRule="auto"/>
              <w:rPr>
                <w:rFonts w:eastAsia="Times New Roman" w:cs="Aparajita"/>
                <w:snapToGrid w:val="0"/>
              </w:rPr>
            </w:pPr>
            <w:r w:rsidRPr="006F2715">
              <w:rPr>
                <w:rFonts w:eastAsia="Times New Roman" w:cs="Aparajita"/>
                <w:snapToGrid w:val="0"/>
                <w:color w:val="000000" w:themeColor="text1"/>
              </w:rPr>
              <w:t xml:space="preserve">Wash hands thoroughly after handling </w:t>
            </w:r>
            <w:r w:rsidRPr="006F2715">
              <w:rPr>
                <w:rFonts w:eastAsia="Times New Roman" w:cs="Aparajita"/>
                <w:snapToGrid w:val="0"/>
              </w:rPr>
              <w:t>acids</w:t>
            </w:r>
          </w:p>
          <w:p w14:paraId="34AE7506" w14:textId="1D4A77BE" w:rsidR="00F35344" w:rsidRPr="006F2715" w:rsidRDefault="00F716E8" w:rsidP="00F716E8">
            <w:pPr>
              <w:pStyle w:val="ListParagraph"/>
              <w:widowControl w:val="0"/>
              <w:numPr>
                <w:ilvl w:val="0"/>
                <w:numId w:val="13"/>
              </w:numPr>
              <w:spacing w:before="80" w:after="80" w:line="240" w:lineRule="auto"/>
              <w:rPr>
                <w:rFonts w:eastAsia="Times New Roman" w:cs="Aparajita"/>
                <w:snapToGrid w:val="0"/>
              </w:rPr>
            </w:pPr>
            <w:r w:rsidRPr="006F2715">
              <w:rPr>
                <w:rFonts w:eastAsia="Times New Roman" w:cs="Aparajita"/>
                <w:snapToGrid w:val="0"/>
              </w:rPr>
              <w:t>Use proper glove removal technique (without touching glove's outer surface) to avoid skin contact with the acid</w:t>
            </w:r>
          </w:p>
        </w:tc>
      </w:tr>
      <w:tr w:rsidR="0071612A" w:rsidRPr="006F2715" w14:paraId="74C6E6C3" w14:textId="77777777" w:rsidTr="0071612A">
        <w:trPr>
          <w:trHeight w:val="432"/>
        </w:trPr>
        <w:tc>
          <w:tcPr>
            <w:tcW w:w="10440" w:type="dxa"/>
            <w:gridSpan w:val="2"/>
            <w:shd w:val="clear" w:color="auto" w:fill="000E2F"/>
            <w:vAlign w:val="center"/>
          </w:tcPr>
          <w:p w14:paraId="6C43815E" w14:textId="77777777" w:rsidR="00C76674" w:rsidRPr="006F2715" w:rsidRDefault="00174A02" w:rsidP="00C76674">
            <w:pPr>
              <w:pStyle w:val="Heading1"/>
              <w:spacing w:before="80" w:after="80"/>
              <w:rPr>
                <w:rFonts w:asciiTheme="minorHAnsi" w:hAnsiTheme="minorHAnsi"/>
                <w:b/>
                <w:sz w:val="24"/>
                <w:szCs w:val="24"/>
              </w:rPr>
            </w:pPr>
            <w:r w:rsidRPr="006F2715">
              <w:rPr>
                <w:rFonts w:asciiTheme="minorHAnsi" w:hAnsiTheme="minorHAnsi"/>
                <w:b/>
                <w:color w:val="FFFFFF" w:themeColor="background1"/>
                <w:sz w:val="24"/>
                <w:szCs w:val="24"/>
              </w:rPr>
              <w:t>SECTION 11 – SPECIFIC PROCEDURE</w:t>
            </w:r>
          </w:p>
        </w:tc>
      </w:tr>
      <w:tr w:rsidR="0071612A" w:rsidRPr="006F2715" w14:paraId="5BA672DA" w14:textId="77777777" w:rsidTr="0071612A">
        <w:trPr>
          <w:trHeight w:val="432"/>
        </w:trPr>
        <w:tc>
          <w:tcPr>
            <w:tcW w:w="10440" w:type="dxa"/>
            <w:gridSpan w:val="2"/>
            <w:shd w:val="clear" w:color="auto" w:fill="FFFFFF" w:themeFill="background1"/>
            <w:vAlign w:val="center"/>
          </w:tcPr>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16"/>
            </w:tblGrid>
            <w:tr w:rsidR="006E4F40" w:rsidRPr="006F2715" w14:paraId="2C2E0DBE" w14:textId="77777777" w:rsidTr="00F716E8">
              <w:trPr>
                <w:trHeight w:val="432"/>
                <w:jc w:val="center"/>
              </w:trPr>
              <w:tc>
                <w:tcPr>
                  <w:tcW w:w="10616" w:type="dxa"/>
                  <w:shd w:val="clear" w:color="auto" w:fill="FFFFFF" w:themeFill="background1"/>
                  <w:vAlign w:val="center"/>
                </w:tcPr>
                <w:p w14:paraId="1BF23FF6" w14:textId="61915CD8" w:rsidR="00B02B5F" w:rsidRPr="006F2715" w:rsidRDefault="006E4F40" w:rsidP="00BC589A">
                  <w:pPr>
                    <w:widowControl w:val="0"/>
                    <w:spacing w:before="80" w:after="80" w:line="240" w:lineRule="auto"/>
                    <w:contextualSpacing/>
                    <w:rPr>
                      <w:rFonts w:cs="Times"/>
                      <w:color w:val="000000"/>
                    </w:rPr>
                  </w:pPr>
                  <w:r w:rsidRPr="006F2715">
                    <w:rPr>
                      <w:rFonts w:eastAsia="Times New Roman" w:cs="Aparajita"/>
                      <w:snapToGrid w:val="0"/>
                    </w:rPr>
                    <w:t xml:space="preserve">A typical use of </w:t>
                  </w:r>
                  <w:r w:rsidR="00B02B5F" w:rsidRPr="006F2715">
                    <w:rPr>
                      <w:rFonts w:eastAsia="Times New Roman" w:cs="Aparajita"/>
                      <w:snapToGrid w:val="0"/>
                    </w:rPr>
                    <w:t>sulfuric acid</w:t>
                  </w:r>
                  <w:r w:rsidRPr="006F2715">
                    <w:rPr>
                      <w:rFonts w:eastAsia="Times New Roman" w:cs="Aparajita"/>
                      <w:snapToGrid w:val="0"/>
                    </w:rPr>
                    <w:t xml:space="preserve"> is described in: </w:t>
                  </w:r>
                  <w:proofErr w:type="spellStart"/>
                  <w:r w:rsidR="009D0311" w:rsidRPr="006F2715">
                    <w:rPr>
                      <w:rFonts w:cs="Times"/>
                      <w:color w:val="000000"/>
                    </w:rPr>
                    <w:t>Yonezawa</w:t>
                  </w:r>
                  <w:proofErr w:type="spellEnd"/>
                  <w:r w:rsidR="009D0311" w:rsidRPr="006F2715">
                    <w:rPr>
                      <w:rFonts w:cs="Times"/>
                      <w:color w:val="000000"/>
                    </w:rPr>
                    <w:t xml:space="preserve">, T.; </w:t>
                  </w:r>
                  <w:proofErr w:type="spellStart"/>
                  <w:r w:rsidR="009D0311" w:rsidRPr="006F2715">
                    <w:rPr>
                      <w:rFonts w:cs="Times"/>
                      <w:color w:val="000000"/>
                    </w:rPr>
                    <w:t>Shafie</w:t>
                  </w:r>
                  <w:proofErr w:type="spellEnd"/>
                  <w:r w:rsidR="009D0311" w:rsidRPr="006F2715">
                    <w:rPr>
                      <w:rFonts w:cs="Times"/>
                      <w:color w:val="000000"/>
                    </w:rPr>
                    <w:t xml:space="preserve"> S. A.; </w:t>
                  </w:r>
                  <w:proofErr w:type="spellStart"/>
                  <w:r w:rsidR="009D0311" w:rsidRPr="006F2715">
                    <w:rPr>
                      <w:rFonts w:cs="Times"/>
                      <w:color w:val="000000"/>
                    </w:rPr>
                    <w:t>Hiroto</w:t>
                  </w:r>
                  <w:proofErr w:type="spellEnd"/>
                  <w:r w:rsidR="009D0311" w:rsidRPr="006F2715">
                    <w:rPr>
                      <w:rFonts w:cs="Times"/>
                      <w:color w:val="000000"/>
                    </w:rPr>
                    <w:t xml:space="preserve"> S.; </w:t>
                  </w:r>
                  <w:proofErr w:type="spellStart"/>
                  <w:r w:rsidR="009D0311" w:rsidRPr="006F2715">
                    <w:rPr>
                      <w:rFonts w:cs="Times"/>
                      <w:color w:val="000000"/>
                    </w:rPr>
                    <w:t>Shinokubo</w:t>
                  </w:r>
                  <w:proofErr w:type="spellEnd"/>
                  <w:r w:rsidR="009D0311" w:rsidRPr="006F2715">
                    <w:rPr>
                      <w:rFonts w:cs="Times"/>
                      <w:color w:val="000000"/>
                    </w:rPr>
                    <w:t xml:space="preserve"> H. ‘Shaping Antiaromatic </w:t>
                  </w:r>
                  <w:r w:rsidR="009D0311" w:rsidRPr="006F2715">
                    <w:rPr>
                      <w:rFonts w:cs="Times"/>
                      <w:color w:val="000000"/>
                    </w:rPr>
                    <w:t xml:space="preserve">-Systems by Metalation: Synthesis of a Bowl-Shaped Antiaromatic Palladium </w:t>
                  </w:r>
                  <w:proofErr w:type="spellStart"/>
                  <w:r w:rsidR="009D0311" w:rsidRPr="006F2715">
                    <w:rPr>
                      <w:rFonts w:cs="Times"/>
                      <w:color w:val="000000"/>
                    </w:rPr>
                    <w:t>Norcorrole</w:t>
                  </w:r>
                  <w:proofErr w:type="spellEnd"/>
                  <w:r w:rsidR="009D0311" w:rsidRPr="006F2715">
                    <w:rPr>
                      <w:rFonts w:cs="Times"/>
                      <w:color w:val="000000"/>
                    </w:rPr>
                    <w:t>’,</w:t>
                  </w:r>
                  <w:r w:rsidR="00B02B5F" w:rsidRPr="006F2715">
                    <w:rPr>
                      <w:rFonts w:cs="Times"/>
                      <w:color w:val="000000"/>
                    </w:rPr>
                    <w:t xml:space="preserve"> </w:t>
                  </w:r>
                  <w:proofErr w:type="spellStart"/>
                  <w:r w:rsidR="00400B2C" w:rsidRPr="006F2715">
                    <w:rPr>
                      <w:rFonts w:cs="Times"/>
                      <w:i/>
                      <w:iCs/>
                      <w:color w:val="000000"/>
                    </w:rPr>
                    <w:t>A</w:t>
                  </w:r>
                  <w:r w:rsidR="00B02B5F" w:rsidRPr="006F2715">
                    <w:rPr>
                      <w:rFonts w:cs="Times"/>
                      <w:i/>
                      <w:iCs/>
                      <w:color w:val="000000"/>
                    </w:rPr>
                    <w:t>ngew</w:t>
                  </w:r>
                  <w:proofErr w:type="spellEnd"/>
                  <w:r w:rsidR="00B02B5F" w:rsidRPr="006F2715">
                    <w:rPr>
                      <w:rFonts w:cs="Times"/>
                      <w:i/>
                      <w:iCs/>
                      <w:color w:val="000000"/>
                    </w:rPr>
                    <w:t xml:space="preserve">. </w:t>
                  </w:r>
                  <w:r w:rsidR="00400B2C" w:rsidRPr="006F2715">
                    <w:rPr>
                      <w:rFonts w:cs="Times"/>
                      <w:i/>
                      <w:iCs/>
                      <w:color w:val="000000"/>
                    </w:rPr>
                    <w:t>C</w:t>
                  </w:r>
                  <w:r w:rsidR="00B02B5F" w:rsidRPr="006F2715">
                    <w:rPr>
                      <w:rFonts w:cs="Times"/>
                      <w:i/>
                      <w:iCs/>
                      <w:color w:val="000000"/>
                    </w:rPr>
                    <w:t>hem.</w:t>
                  </w:r>
                  <w:r w:rsidR="00B02B5F" w:rsidRPr="006F2715">
                    <w:rPr>
                      <w:rFonts w:cs="Times"/>
                      <w:color w:val="000000"/>
                    </w:rPr>
                    <w:t xml:space="preserve"> </w:t>
                  </w:r>
                  <w:r w:rsidR="00400B2C" w:rsidRPr="006F2715">
                    <w:rPr>
                      <w:rFonts w:cs="Times"/>
                      <w:i/>
                      <w:color w:val="000000"/>
                    </w:rPr>
                    <w:t xml:space="preserve">Int. Ed. </w:t>
                  </w:r>
                  <w:r w:rsidR="00B02B5F" w:rsidRPr="006F2715">
                    <w:rPr>
                      <w:rFonts w:cs="Times"/>
                      <w:b/>
                      <w:bCs/>
                      <w:color w:val="000000"/>
                    </w:rPr>
                    <w:t>2017</w:t>
                  </w:r>
                  <w:r w:rsidR="00B02B5F" w:rsidRPr="006F2715">
                    <w:rPr>
                      <w:rFonts w:cs="Times"/>
                      <w:color w:val="000000"/>
                    </w:rPr>
                    <w:t xml:space="preserve">, </w:t>
                  </w:r>
                  <w:r w:rsidR="00B02B5F" w:rsidRPr="006F2715">
                    <w:rPr>
                      <w:rFonts w:cs="Times"/>
                      <w:i/>
                      <w:color w:val="000000"/>
                    </w:rPr>
                    <w:t>56</w:t>
                  </w:r>
                  <w:r w:rsidR="00B02B5F" w:rsidRPr="006F2715">
                    <w:rPr>
                      <w:rFonts w:cs="Times"/>
                      <w:color w:val="000000"/>
                    </w:rPr>
                    <w:t>, 11822</w:t>
                  </w:r>
                  <w:r w:rsidR="00400B2C" w:rsidRPr="006F2715">
                    <w:rPr>
                      <w:rFonts w:cs="Times"/>
                      <w:color w:val="000000"/>
                    </w:rPr>
                    <w:t>–</w:t>
                  </w:r>
                  <w:r w:rsidR="00B02B5F" w:rsidRPr="006F2715">
                    <w:rPr>
                      <w:rFonts w:cs="Times"/>
                      <w:color w:val="000000"/>
                    </w:rPr>
                    <w:t>11825.</w:t>
                  </w:r>
                </w:p>
                <w:p w14:paraId="20A3AEE0" w14:textId="77777777" w:rsidR="00400B2C" w:rsidRPr="006F2715" w:rsidRDefault="00400B2C" w:rsidP="00BC589A">
                  <w:pPr>
                    <w:widowControl w:val="0"/>
                    <w:spacing w:before="80" w:after="80" w:line="240" w:lineRule="auto"/>
                    <w:contextualSpacing/>
                    <w:rPr>
                      <w:rFonts w:eastAsia="Times New Roman" w:cs="Times New Roman"/>
                      <w:sz w:val="24"/>
                      <w:szCs w:val="24"/>
                      <w:lang w:eastAsia="zh-CN"/>
                    </w:rPr>
                  </w:pPr>
                </w:p>
                <w:p w14:paraId="30163A58" w14:textId="77777777" w:rsidR="00BC589A" w:rsidRPr="006F2715" w:rsidRDefault="006E4F40" w:rsidP="00BC589A">
                  <w:pPr>
                    <w:widowControl w:val="0"/>
                    <w:spacing w:before="80" w:after="80" w:line="240" w:lineRule="auto"/>
                    <w:contextualSpacing/>
                    <w:rPr>
                      <w:iCs/>
                    </w:rPr>
                  </w:pPr>
                  <w:r w:rsidRPr="006F2715">
                    <w:rPr>
                      <w:iCs/>
                    </w:rPr>
                    <w:t xml:space="preserve">CAUTION: </w:t>
                  </w:r>
                  <w:proofErr w:type="spellStart"/>
                  <w:r w:rsidRPr="006F2715">
                    <w:rPr>
                      <w:iCs/>
                    </w:rPr>
                    <w:t>Fumehood</w:t>
                  </w:r>
                  <w:proofErr w:type="spellEnd"/>
                  <w:r w:rsidRPr="006F2715">
                    <w:rPr>
                      <w:iCs/>
                    </w:rPr>
                    <w:t xml:space="preserve"> and eye protection required!</w:t>
                  </w:r>
                </w:p>
                <w:p w14:paraId="3CDACF5B" w14:textId="42788A23" w:rsidR="006E4F40" w:rsidRPr="006F2715" w:rsidRDefault="006E4F40" w:rsidP="00BC589A">
                  <w:pPr>
                    <w:widowControl w:val="0"/>
                    <w:spacing w:before="80" w:after="80" w:line="240" w:lineRule="auto"/>
                    <w:contextualSpacing/>
                    <w:rPr>
                      <w:rFonts w:eastAsia="Times New Roman" w:cs="Aparajita"/>
                      <w:snapToGrid w:val="0"/>
                    </w:rPr>
                  </w:pPr>
                </w:p>
                <w:p w14:paraId="3E234991" w14:textId="0D3F5ECF" w:rsidR="00BC589A" w:rsidRPr="006F2715" w:rsidRDefault="00400B2C" w:rsidP="00400B2C">
                  <w:pPr>
                    <w:widowControl w:val="0"/>
                    <w:autoSpaceDE w:val="0"/>
                    <w:autoSpaceDN w:val="0"/>
                    <w:spacing w:before="120" w:after="120" w:line="240" w:lineRule="auto"/>
                    <w:rPr>
                      <w:rFonts w:cs="Times"/>
                      <w:b/>
                      <w:bCs/>
                      <w:color w:val="000000"/>
                    </w:rPr>
                  </w:pPr>
                  <w:r w:rsidRPr="006F2715">
                    <w:rPr>
                      <w:rFonts w:cs="Times"/>
                      <w:i/>
                      <w:iCs/>
                      <w:color w:val="000000"/>
                    </w:rPr>
                    <w:t>F</w:t>
                  </w:r>
                  <w:r w:rsidR="009D0311" w:rsidRPr="006F2715">
                    <w:rPr>
                      <w:rFonts w:cs="Times"/>
                      <w:i/>
                      <w:iCs/>
                      <w:color w:val="000000"/>
                    </w:rPr>
                    <w:t>ree-</w:t>
                  </w:r>
                  <w:r w:rsidRPr="006F2715">
                    <w:rPr>
                      <w:rFonts w:cs="Times"/>
                      <w:i/>
                      <w:iCs/>
                      <w:color w:val="000000"/>
                    </w:rPr>
                    <w:t>B</w:t>
                  </w:r>
                  <w:r w:rsidR="009D0311" w:rsidRPr="006F2715">
                    <w:rPr>
                      <w:rFonts w:cs="Times"/>
                      <w:i/>
                      <w:iCs/>
                      <w:color w:val="000000"/>
                    </w:rPr>
                    <w:t xml:space="preserve">ase </w:t>
                  </w:r>
                  <w:proofErr w:type="spellStart"/>
                  <w:r w:rsidRPr="006F2715">
                    <w:rPr>
                      <w:rFonts w:cs="Times"/>
                      <w:i/>
                      <w:iCs/>
                      <w:color w:val="000000"/>
                    </w:rPr>
                    <w:t>D</w:t>
                  </w:r>
                  <w:r w:rsidR="009D0311" w:rsidRPr="006F2715">
                    <w:rPr>
                      <w:rFonts w:cs="Times"/>
                      <w:i/>
                      <w:iCs/>
                      <w:color w:val="000000"/>
                    </w:rPr>
                    <w:t>imesitylnorcorrole</w:t>
                  </w:r>
                  <w:proofErr w:type="spellEnd"/>
                  <w:r w:rsidR="009D0311" w:rsidRPr="006F2715">
                    <w:rPr>
                      <w:rFonts w:cs="Times"/>
                      <w:i/>
                      <w:iCs/>
                      <w:color w:val="000000"/>
                    </w:rPr>
                    <w:t xml:space="preserve"> </w:t>
                  </w:r>
                  <w:r w:rsidR="009D0311" w:rsidRPr="006F2715">
                    <w:rPr>
                      <w:rFonts w:cs="Times"/>
                      <w:b/>
                      <w:bCs/>
                      <w:color w:val="000000"/>
                    </w:rPr>
                    <w:t>(2</w:t>
                  </w:r>
                  <w:r w:rsidR="00BC589A" w:rsidRPr="006F2715">
                    <w:rPr>
                      <w:rFonts w:cs="Times"/>
                      <w:b/>
                      <w:bCs/>
                      <w:color w:val="000000"/>
                    </w:rPr>
                    <w:t>H</w:t>
                  </w:r>
                  <w:r w:rsidR="00BC589A" w:rsidRPr="006F2715">
                    <w:rPr>
                      <w:rFonts w:cs="Times"/>
                      <w:b/>
                      <w:bCs/>
                      <w:color w:val="000000"/>
                      <w:vertAlign w:val="subscript"/>
                    </w:rPr>
                    <w:t>2</w:t>
                  </w:r>
                  <w:r w:rsidR="00BC589A" w:rsidRPr="006F2715">
                    <w:rPr>
                      <w:rFonts w:cs="Times"/>
                      <w:b/>
                      <w:bCs/>
                      <w:color w:val="000000"/>
                    </w:rPr>
                    <w:t>):</w:t>
                  </w:r>
                </w:p>
                <w:p w14:paraId="257FA01C" w14:textId="5AD1992D" w:rsidR="006E4F40" w:rsidRPr="006F2715" w:rsidRDefault="00574749" w:rsidP="00400B2C">
                  <w:pPr>
                    <w:widowControl w:val="0"/>
                    <w:autoSpaceDE w:val="0"/>
                    <w:autoSpaceDN w:val="0"/>
                    <w:spacing w:before="120" w:after="120" w:line="240" w:lineRule="auto"/>
                    <w:rPr>
                      <w:rFonts w:cs="Times"/>
                      <w:color w:val="000000"/>
                    </w:rPr>
                  </w:pPr>
                  <w:r w:rsidRPr="006F2715">
                    <w:rPr>
                      <w:rFonts w:cs="Times"/>
                      <w:color w:val="000000"/>
                    </w:rPr>
                    <w:t xml:space="preserve">A round-bottomed flask containing </w:t>
                  </w:r>
                  <w:proofErr w:type="spellStart"/>
                  <w:r w:rsidRPr="006F2715">
                    <w:rPr>
                      <w:rFonts w:cs="Times"/>
                      <w:color w:val="000000"/>
                    </w:rPr>
                    <w:t>bis</w:t>
                  </w:r>
                  <w:proofErr w:type="spellEnd"/>
                  <w:r w:rsidRPr="006F2715">
                    <w:rPr>
                      <w:rFonts w:cs="Times"/>
                      <w:color w:val="000000"/>
                    </w:rPr>
                    <w:t>(</w:t>
                  </w:r>
                  <w:proofErr w:type="spellStart"/>
                  <w:r w:rsidRPr="006F2715">
                    <w:rPr>
                      <w:rFonts w:cs="Times"/>
                      <w:color w:val="000000"/>
                    </w:rPr>
                    <w:t>diiododipyrrin</w:t>
                  </w:r>
                  <w:proofErr w:type="spellEnd"/>
                  <w:r w:rsidRPr="006F2715">
                    <w:rPr>
                      <w:rFonts w:cs="Times"/>
                      <w:color w:val="000000"/>
                    </w:rPr>
                    <w:t xml:space="preserve">) copper complex </w:t>
                  </w:r>
                  <w:r w:rsidRPr="006F2715">
                    <w:rPr>
                      <w:rFonts w:cs="Times"/>
                      <w:b/>
                      <w:bCs/>
                      <w:color w:val="000000"/>
                    </w:rPr>
                    <w:t xml:space="preserve">2Cu </w:t>
                  </w:r>
                  <w:r w:rsidRPr="006F2715">
                    <w:rPr>
                      <w:rFonts w:cs="Times"/>
                      <w:color w:val="000000"/>
                    </w:rPr>
                    <w:t xml:space="preserve">(27.2 mg, 25.0 </w:t>
                  </w:r>
                  <w:proofErr w:type="spellStart"/>
                  <w:r w:rsidRPr="006F2715">
                    <w:rPr>
                      <w:rFonts w:cs="Times"/>
                      <w:i/>
                      <w:iCs/>
                      <w:color w:val="000000"/>
                    </w:rPr>
                    <w:t>μ</w:t>
                  </w:r>
                  <w:r w:rsidRPr="006F2715">
                    <w:rPr>
                      <w:rFonts w:cs="Times"/>
                      <w:color w:val="000000"/>
                    </w:rPr>
                    <w:t>mol</w:t>
                  </w:r>
                  <w:proofErr w:type="spellEnd"/>
                  <w:r w:rsidRPr="006F2715">
                    <w:rPr>
                      <w:rFonts w:cs="Times"/>
                      <w:color w:val="000000"/>
                    </w:rPr>
                    <w:t xml:space="preserve">) and copper(I) 2-thiophenecarboxylate (143 mg, 750 </w:t>
                  </w:r>
                  <w:proofErr w:type="spellStart"/>
                  <w:r w:rsidRPr="006F2715">
                    <w:rPr>
                      <w:rFonts w:cs="Times"/>
                      <w:i/>
                      <w:iCs/>
                      <w:color w:val="000000"/>
                    </w:rPr>
                    <w:t>μ</w:t>
                  </w:r>
                  <w:r w:rsidRPr="006F2715">
                    <w:rPr>
                      <w:rFonts w:cs="Times"/>
                      <w:color w:val="000000"/>
                    </w:rPr>
                    <w:t>mol</w:t>
                  </w:r>
                  <w:proofErr w:type="spellEnd"/>
                  <w:r w:rsidRPr="006F2715">
                    <w:rPr>
                      <w:rFonts w:cs="Times"/>
                      <w:color w:val="000000"/>
                    </w:rPr>
                    <w:t xml:space="preserve">) was filled with </w:t>
                  </w:r>
                  <w:r w:rsidR="00BC589A" w:rsidRPr="006F2715">
                    <w:rPr>
                      <w:rFonts w:cs="Times"/>
                      <w:color w:val="000000"/>
                    </w:rPr>
                    <w:t>N</w:t>
                  </w:r>
                  <w:r w:rsidR="00BC589A" w:rsidRPr="006F2715">
                    <w:rPr>
                      <w:rFonts w:cs="Times"/>
                      <w:color w:val="000000"/>
                      <w:vertAlign w:val="subscript"/>
                    </w:rPr>
                    <w:t>2</w:t>
                  </w:r>
                  <w:r w:rsidRPr="006F2715">
                    <w:rPr>
                      <w:rFonts w:cs="Times"/>
                      <w:color w:val="000000"/>
                      <w:position w:val="-6"/>
                    </w:rPr>
                    <w:t xml:space="preserve"> </w:t>
                  </w:r>
                  <w:r w:rsidRPr="006F2715">
                    <w:rPr>
                      <w:rFonts w:cs="Times"/>
                      <w:color w:val="000000"/>
                    </w:rPr>
                    <w:t xml:space="preserve">and dry NMP (15 </w:t>
                  </w:r>
                  <w:r w:rsidR="009D0311" w:rsidRPr="006F2715">
                    <w:rPr>
                      <w:rFonts w:cs="Times"/>
                      <w:color w:val="000000"/>
                    </w:rPr>
                    <w:t xml:space="preserve">mL) was added. The solution was </w:t>
                  </w:r>
                  <w:r w:rsidRPr="006F2715">
                    <w:rPr>
                      <w:rFonts w:cs="Times"/>
                      <w:color w:val="000000"/>
                    </w:rPr>
                    <w:t xml:space="preserve">stirred at room temperature for 20 min. The resulting mixture was extracted with </w:t>
                  </w:r>
                  <w:proofErr w:type="spellStart"/>
                  <w:r w:rsidRPr="006F2715">
                    <w:rPr>
                      <w:rFonts w:cs="Times"/>
                      <w:color w:val="000000"/>
                    </w:rPr>
                    <w:t>AcOEt</w:t>
                  </w:r>
                  <w:proofErr w:type="spellEnd"/>
                  <w:r w:rsidRPr="006F2715">
                    <w:rPr>
                      <w:rFonts w:cs="Times"/>
                      <w:color w:val="000000"/>
                    </w:rPr>
                    <w:t xml:space="preserve">. The combined organic layers were washed with water and brine, and dried over </w:t>
                  </w:r>
                  <w:r w:rsidR="00BC589A" w:rsidRPr="006F2715">
                    <w:rPr>
                      <w:rFonts w:cs="Times"/>
                      <w:color w:val="000000"/>
                    </w:rPr>
                    <w:t>Na</w:t>
                  </w:r>
                  <w:r w:rsidR="00BC589A" w:rsidRPr="006F2715">
                    <w:rPr>
                      <w:rFonts w:cs="Times"/>
                      <w:color w:val="000000"/>
                      <w:vertAlign w:val="subscript"/>
                    </w:rPr>
                    <w:t>2</w:t>
                  </w:r>
                  <w:r w:rsidR="00BC589A" w:rsidRPr="006F2715">
                    <w:rPr>
                      <w:rFonts w:cs="Times"/>
                      <w:color w:val="000000"/>
                    </w:rPr>
                    <w:t>SO</w:t>
                  </w:r>
                  <w:r w:rsidR="00BC589A" w:rsidRPr="006F2715">
                    <w:rPr>
                      <w:rFonts w:cs="Times"/>
                      <w:color w:val="000000"/>
                      <w:vertAlign w:val="subscript"/>
                    </w:rPr>
                    <w:t>4</w:t>
                  </w:r>
                  <w:r w:rsidRPr="006F2715">
                    <w:rPr>
                      <w:rFonts w:cs="Times"/>
                      <w:color w:val="000000"/>
                    </w:rPr>
                    <w:t xml:space="preserve">. After removing the solvent by rotary evaporation, the round-bottomed flask containing the residue was filled with </w:t>
                  </w:r>
                  <w:r w:rsidR="00BC589A" w:rsidRPr="006F2715">
                    <w:rPr>
                      <w:rFonts w:cs="Times"/>
                      <w:color w:val="000000"/>
                    </w:rPr>
                    <w:t>N</w:t>
                  </w:r>
                  <w:r w:rsidR="00BC589A" w:rsidRPr="006F2715">
                    <w:rPr>
                      <w:rFonts w:cs="Times"/>
                      <w:color w:val="000000"/>
                      <w:vertAlign w:val="subscript"/>
                    </w:rPr>
                    <w:t>2</w:t>
                  </w:r>
                  <w:r w:rsidRPr="006F2715">
                    <w:rPr>
                      <w:rFonts w:cs="Times"/>
                      <w:color w:val="000000"/>
                      <w:position w:val="-6"/>
                    </w:rPr>
                    <w:t xml:space="preserve"> </w:t>
                  </w:r>
                  <w:r w:rsidRPr="006F2715">
                    <w:rPr>
                      <w:rFonts w:cs="Times"/>
                      <w:color w:val="000000"/>
                    </w:rPr>
                    <w:t>and dry CHC</w:t>
                  </w:r>
                  <w:r w:rsidR="00BC589A" w:rsidRPr="006F2715">
                    <w:rPr>
                      <w:rFonts w:cs="Times"/>
                      <w:color w:val="000000"/>
                    </w:rPr>
                    <w:t>l</w:t>
                  </w:r>
                  <w:r w:rsidR="00BC589A" w:rsidRPr="006F2715">
                    <w:rPr>
                      <w:rFonts w:cs="Times"/>
                      <w:color w:val="000000"/>
                      <w:vertAlign w:val="subscript"/>
                    </w:rPr>
                    <w:t>3</w:t>
                  </w:r>
                  <w:r w:rsidRPr="006F2715">
                    <w:rPr>
                      <w:rFonts w:cs="Times"/>
                      <w:color w:val="000000"/>
                      <w:position w:val="-6"/>
                    </w:rPr>
                    <w:t xml:space="preserve"> </w:t>
                  </w:r>
                  <w:r w:rsidRPr="006F2715">
                    <w:rPr>
                      <w:rFonts w:cs="Times"/>
                      <w:color w:val="000000"/>
                    </w:rPr>
                    <w:t xml:space="preserve">(2.6 mL) was added. The solution was stirred at –65 °C for 10 min. To this solution, </w:t>
                  </w:r>
                  <w:r w:rsidR="00BC589A" w:rsidRPr="006F2715">
                    <w:rPr>
                      <w:rFonts w:cs="Times"/>
                      <w:color w:val="000000"/>
                    </w:rPr>
                    <w:t>H</w:t>
                  </w:r>
                  <w:r w:rsidR="00BC589A" w:rsidRPr="006F2715">
                    <w:rPr>
                      <w:rFonts w:cs="Times"/>
                      <w:color w:val="000000"/>
                      <w:vertAlign w:val="subscript"/>
                    </w:rPr>
                    <w:t>2</w:t>
                  </w:r>
                  <w:r w:rsidR="00BC589A" w:rsidRPr="006F2715">
                    <w:rPr>
                      <w:rFonts w:cs="Times"/>
                      <w:color w:val="000000"/>
                    </w:rPr>
                    <w:t>SO</w:t>
                  </w:r>
                  <w:r w:rsidR="00BC589A" w:rsidRPr="006F2715">
                    <w:rPr>
                      <w:rFonts w:cs="Times"/>
                      <w:color w:val="000000"/>
                      <w:vertAlign w:val="subscript"/>
                    </w:rPr>
                    <w:t>4</w:t>
                  </w:r>
                  <w:r w:rsidRPr="006F2715">
                    <w:rPr>
                      <w:rFonts w:cs="Times"/>
                      <w:color w:val="000000"/>
                      <w:position w:val="-6"/>
                    </w:rPr>
                    <w:t xml:space="preserve"> </w:t>
                  </w:r>
                  <w:r w:rsidRPr="006F2715">
                    <w:rPr>
                      <w:rFonts w:cs="Times"/>
                      <w:color w:val="000000"/>
                    </w:rPr>
                    <w:t>(1 mL) was added carefully under stirring condition and the stirring was continued for 5 min. The reaction mixture was quenched with aqueous NaHC</w:t>
                  </w:r>
                  <w:r w:rsidR="00BC589A" w:rsidRPr="006F2715">
                    <w:rPr>
                      <w:rFonts w:cs="Times"/>
                      <w:color w:val="000000"/>
                    </w:rPr>
                    <w:t>O</w:t>
                  </w:r>
                  <w:r w:rsidR="00BC589A" w:rsidRPr="006F2715">
                    <w:rPr>
                      <w:rFonts w:cs="Times"/>
                      <w:color w:val="000000"/>
                      <w:vertAlign w:val="subscript"/>
                    </w:rPr>
                    <w:t>3</w:t>
                  </w:r>
                  <w:r w:rsidRPr="006F2715">
                    <w:rPr>
                      <w:rFonts w:cs="Times"/>
                      <w:color w:val="000000"/>
                      <w:position w:val="-6"/>
                    </w:rPr>
                    <w:t xml:space="preserve"> </w:t>
                  </w:r>
                  <w:r w:rsidRPr="006F2715">
                    <w:rPr>
                      <w:rFonts w:cs="Times"/>
                      <w:color w:val="000000"/>
                    </w:rPr>
                    <w:t>solution and aqueous layer was washed by CHCl</w:t>
                  </w:r>
                  <w:r w:rsidR="00BC589A" w:rsidRPr="006F2715">
                    <w:rPr>
                      <w:rFonts w:cs="Times"/>
                      <w:color w:val="000000"/>
                      <w:vertAlign w:val="subscript"/>
                    </w:rPr>
                    <w:t>3</w:t>
                  </w:r>
                  <w:r w:rsidRPr="006F2715">
                    <w:rPr>
                      <w:rFonts w:cs="Times"/>
                      <w:color w:val="000000"/>
                    </w:rPr>
                    <w:t xml:space="preserve">. The combined organic layers were dried by brine and </w:t>
                  </w:r>
                  <w:r w:rsidR="00BC589A" w:rsidRPr="006F2715">
                    <w:rPr>
                      <w:rFonts w:cs="Times"/>
                      <w:color w:val="000000"/>
                    </w:rPr>
                    <w:t>Na</w:t>
                  </w:r>
                  <w:r w:rsidR="00BC589A" w:rsidRPr="006F2715">
                    <w:rPr>
                      <w:rFonts w:cs="Times"/>
                      <w:color w:val="000000"/>
                      <w:vertAlign w:val="subscript"/>
                    </w:rPr>
                    <w:t>2</w:t>
                  </w:r>
                  <w:r w:rsidR="00BC589A" w:rsidRPr="006F2715">
                    <w:rPr>
                      <w:rFonts w:cs="Times"/>
                      <w:color w:val="000000"/>
                    </w:rPr>
                    <w:t>SO</w:t>
                  </w:r>
                  <w:r w:rsidR="00BC589A" w:rsidRPr="006F2715">
                    <w:rPr>
                      <w:rFonts w:cs="Times"/>
                      <w:color w:val="000000"/>
                      <w:vertAlign w:val="subscript"/>
                    </w:rPr>
                    <w:t>4</w:t>
                  </w:r>
                  <w:r w:rsidRPr="006F2715">
                    <w:rPr>
                      <w:rFonts w:cs="Times"/>
                      <w:color w:val="000000"/>
                    </w:rPr>
                    <w:t>. After removing the solvent by rotary evaporation, the residue was purified by column chromatography (hexane CHC</w:t>
                  </w:r>
                  <w:r w:rsidR="00BC589A" w:rsidRPr="006F2715">
                    <w:rPr>
                      <w:rFonts w:cs="Times"/>
                      <w:color w:val="000000"/>
                    </w:rPr>
                    <w:t>l</w:t>
                  </w:r>
                  <w:r w:rsidR="00BC589A" w:rsidRPr="006F2715">
                    <w:rPr>
                      <w:rFonts w:cs="Times"/>
                      <w:color w:val="000000"/>
                      <w:vertAlign w:val="subscript"/>
                    </w:rPr>
                    <w:t>3</w:t>
                  </w:r>
                  <w:r w:rsidRPr="006F2715">
                    <w:rPr>
                      <w:rFonts w:cs="Times"/>
                      <w:color w:val="000000"/>
                      <w:position w:val="-6"/>
                    </w:rPr>
                    <w:t xml:space="preserve"> </w:t>
                  </w:r>
                  <w:r w:rsidRPr="006F2715">
                    <w:rPr>
                      <w:rFonts w:cs="Times"/>
                      <w:color w:val="000000"/>
                    </w:rPr>
                    <w:t>as eluent) to afford free-</w:t>
                  </w:r>
                  <w:proofErr w:type="spellStart"/>
                  <w:r w:rsidRPr="006F2715">
                    <w:rPr>
                      <w:rFonts w:cs="Times"/>
                      <w:color w:val="000000"/>
                    </w:rPr>
                    <w:t>base</w:t>
                  </w:r>
                  <w:proofErr w:type="spellEnd"/>
                  <w:r w:rsidRPr="006F2715">
                    <w:rPr>
                      <w:rFonts w:cs="Times"/>
                      <w:color w:val="000000"/>
                    </w:rPr>
                    <w:t xml:space="preserve"> </w:t>
                  </w:r>
                  <w:proofErr w:type="spellStart"/>
                  <w:r w:rsidRPr="006F2715">
                    <w:rPr>
                      <w:rFonts w:cs="Times"/>
                      <w:color w:val="000000"/>
                    </w:rPr>
                    <w:t>dimesitylnorcorrole</w:t>
                  </w:r>
                  <w:proofErr w:type="spellEnd"/>
                  <w:r w:rsidRPr="006F2715">
                    <w:rPr>
                      <w:rFonts w:cs="Times"/>
                      <w:color w:val="000000"/>
                    </w:rPr>
                    <w:t xml:space="preserve"> </w:t>
                  </w:r>
                  <w:r w:rsidR="00BC589A" w:rsidRPr="006F2715">
                    <w:rPr>
                      <w:rFonts w:cs="Times"/>
                      <w:b/>
                      <w:bCs/>
                      <w:color w:val="000000"/>
                    </w:rPr>
                    <w:t>2H</w:t>
                  </w:r>
                  <w:r w:rsidR="00BC589A" w:rsidRPr="006F2715">
                    <w:rPr>
                      <w:rFonts w:cs="Times"/>
                      <w:b/>
                      <w:bCs/>
                      <w:color w:val="000000"/>
                      <w:vertAlign w:val="subscript"/>
                    </w:rPr>
                    <w:t>2</w:t>
                  </w:r>
                  <w:r w:rsidRPr="006F2715">
                    <w:rPr>
                      <w:rFonts w:cs="Times"/>
                      <w:b/>
                      <w:bCs/>
                      <w:color w:val="000000"/>
                      <w:position w:val="-6"/>
                    </w:rPr>
                    <w:t xml:space="preserve"> </w:t>
                  </w:r>
                  <w:r w:rsidRPr="006F2715">
                    <w:rPr>
                      <w:rFonts w:cs="Times"/>
                      <w:color w:val="000000"/>
                    </w:rPr>
                    <w:t xml:space="preserve">(6.83 mg, 13.1 </w:t>
                  </w:r>
                  <w:proofErr w:type="spellStart"/>
                  <w:r w:rsidRPr="006F2715">
                    <w:rPr>
                      <w:rFonts w:cs="Times"/>
                      <w:i/>
                      <w:iCs/>
                      <w:color w:val="000000"/>
                    </w:rPr>
                    <w:t>μ</w:t>
                  </w:r>
                  <w:r w:rsidRPr="006F2715">
                    <w:rPr>
                      <w:rFonts w:cs="Times"/>
                      <w:color w:val="000000"/>
                    </w:rPr>
                    <w:t>mol</w:t>
                  </w:r>
                  <w:proofErr w:type="spellEnd"/>
                  <w:r w:rsidRPr="006F2715">
                    <w:rPr>
                      <w:rFonts w:cs="Times"/>
                      <w:color w:val="000000"/>
                    </w:rPr>
                    <w:t xml:space="preserve">, 52%). </w:t>
                  </w:r>
                </w:p>
              </w:tc>
            </w:tr>
          </w:tbl>
          <w:p w14:paraId="0D8FAB2C" w14:textId="3D58E2DE" w:rsidR="0060252D" w:rsidRPr="006F2715" w:rsidRDefault="0060252D" w:rsidP="000570F1">
            <w:pPr>
              <w:widowControl w:val="0"/>
              <w:spacing w:before="80" w:after="80" w:line="240" w:lineRule="auto"/>
              <w:rPr>
                <w:rFonts w:eastAsia="Times New Roman" w:cs="Aparajita"/>
                <w:snapToGrid w:val="0"/>
              </w:rPr>
            </w:pPr>
          </w:p>
        </w:tc>
      </w:tr>
    </w:tbl>
    <w:p w14:paraId="1B90F40F" w14:textId="77777777" w:rsidR="00AC441D" w:rsidRPr="006F2715" w:rsidRDefault="00AC441D">
      <w:pPr>
        <w:jc w:val="center"/>
      </w:pPr>
      <w:r w:rsidRPr="006F2715">
        <w:br w:type="page"/>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750"/>
        <w:gridCol w:w="2788"/>
        <w:gridCol w:w="1172"/>
      </w:tblGrid>
      <w:tr w:rsidR="00C76674" w:rsidRPr="006F2715" w14:paraId="5C3E969D" w14:textId="77777777" w:rsidTr="00F716E8">
        <w:trPr>
          <w:trHeight w:val="432"/>
        </w:trPr>
        <w:tc>
          <w:tcPr>
            <w:tcW w:w="10710" w:type="dxa"/>
            <w:gridSpan w:val="3"/>
            <w:shd w:val="clear" w:color="auto" w:fill="000E2F"/>
            <w:vAlign w:val="center"/>
          </w:tcPr>
          <w:p w14:paraId="22EF9547" w14:textId="77777777" w:rsidR="00C76674" w:rsidRPr="006F2715" w:rsidRDefault="00174A02" w:rsidP="00C85102">
            <w:pPr>
              <w:widowControl w:val="0"/>
              <w:spacing w:after="0" w:line="240" w:lineRule="auto"/>
              <w:rPr>
                <w:rFonts w:eastAsia="Times New Roman" w:cs="Aparajita"/>
                <w:snapToGrid w:val="0"/>
                <w:sz w:val="24"/>
                <w:szCs w:val="24"/>
              </w:rPr>
            </w:pPr>
            <w:r w:rsidRPr="006F2715">
              <w:rPr>
                <w:rFonts w:eastAsia="Times New Roman" w:cs="Aparajita"/>
                <w:b/>
                <w:snapToGrid w:val="0"/>
                <w:color w:val="FFFFFF" w:themeColor="background1"/>
                <w:sz w:val="24"/>
                <w:szCs w:val="24"/>
              </w:rPr>
              <w:lastRenderedPageBreak/>
              <w:t>SECTION 12A.     APPROVAL</w:t>
            </w:r>
          </w:p>
        </w:tc>
      </w:tr>
      <w:tr w:rsidR="00C76674" w:rsidRPr="006F2715" w14:paraId="6366E32D" w14:textId="77777777" w:rsidTr="00F716E8">
        <w:trPr>
          <w:trHeight w:val="432"/>
        </w:trPr>
        <w:tc>
          <w:tcPr>
            <w:tcW w:w="10710" w:type="dxa"/>
            <w:gridSpan w:val="3"/>
            <w:shd w:val="clear" w:color="auto" w:fill="FFFFFF" w:themeFill="background1"/>
            <w:vAlign w:val="center"/>
          </w:tcPr>
          <w:p w14:paraId="6824EC5C" w14:textId="77777777" w:rsidR="002B1DB7" w:rsidRPr="006F2715" w:rsidRDefault="0060252D" w:rsidP="000570F1">
            <w:pPr>
              <w:widowControl w:val="0"/>
              <w:spacing w:before="80" w:after="80" w:line="240" w:lineRule="auto"/>
              <w:rPr>
                <w:rFonts w:eastAsia="Times New Roman" w:cs="Aparajita"/>
                <w:snapToGrid w:val="0"/>
              </w:rPr>
            </w:pPr>
            <w:r w:rsidRPr="006F2715">
              <w:rPr>
                <w:rFonts w:eastAsia="Times New Roman" w:cs="Aparajita"/>
                <w:snapToGrid w:val="0"/>
              </w:rPr>
              <w:t xml:space="preserve">I have reviewed, understand and agree to follow this </w:t>
            </w:r>
            <w:r w:rsidR="00DF0237" w:rsidRPr="006F2715">
              <w:rPr>
                <w:rFonts w:eastAsia="Times New Roman" w:cs="Aparajita"/>
                <w:snapToGrid w:val="0"/>
              </w:rPr>
              <w:t xml:space="preserve">lab-specific </w:t>
            </w:r>
            <w:r w:rsidRPr="006F2715">
              <w:rPr>
                <w:rFonts w:eastAsia="Times New Roman" w:cs="Aparajita"/>
                <w:snapToGrid w:val="0"/>
              </w:rPr>
              <w:t>standard operating procedure (</w:t>
            </w:r>
            <w:r w:rsidR="00241FD1" w:rsidRPr="006F2715">
              <w:rPr>
                <w:rFonts w:eastAsia="Times New Roman" w:cs="Aparajita"/>
                <w:snapToGrid w:val="0"/>
              </w:rPr>
              <w:t>L</w:t>
            </w:r>
            <w:r w:rsidRPr="006F2715">
              <w:rPr>
                <w:rFonts w:eastAsia="Times New Roman" w:cs="Aparajita"/>
                <w:snapToGrid w:val="0"/>
              </w:rPr>
              <w:t>SOP)</w:t>
            </w:r>
            <w:r w:rsidRPr="006F2715">
              <w:rPr>
                <w:rFonts w:eastAsia="Times New Roman" w:cs="Aparajita"/>
                <w:i/>
                <w:snapToGrid w:val="0"/>
              </w:rPr>
              <w:t xml:space="preserve">. </w:t>
            </w:r>
            <w:r w:rsidRPr="006F2715">
              <w:rPr>
                <w:rFonts w:eastAsia="Times New Roman" w:cs="Aparajita"/>
                <w:snapToGrid w:val="0"/>
              </w:rPr>
              <w:t>Failure to follow th</w:t>
            </w:r>
            <w:r w:rsidR="004A0961" w:rsidRPr="006F2715">
              <w:rPr>
                <w:rFonts w:eastAsia="Times New Roman" w:cs="Aparajita"/>
                <w:snapToGrid w:val="0"/>
              </w:rPr>
              <w:t>is</w:t>
            </w:r>
            <w:r w:rsidRPr="006F2715">
              <w:rPr>
                <w:rFonts w:eastAsia="Times New Roman" w:cs="Aparajita"/>
                <w:snapToGrid w:val="0"/>
              </w:rPr>
              <w:t xml:space="preserve"> </w:t>
            </w:r>
            <w:r w:rsidR="00241FD1" w:rsidRPr="006F2715">
              <w:rPr>
                <w:rFonts w:eastAsia="Times New Roman" w:cs="Aparajita"/>
                <w:snapToGrid w:val="0"/>
              </w:rPr>
              <w:t>L</w:t>
            </w:r>
            <w:r w:rsidRPr="006F2715">
              <w:rPr>
                <w:rFonts w:eastAsia="Times New Roman" w:cs="Aparajita"/>
                <w:snapToGrid w:val="0"/>
              </w:rPr>
              <w:t xml:space="preserve">SOP </w:t>
            </w:r>
            <w:r w:rsidR="004A0961" w:rsidRPr="006F2715">
              <w:rPr>
                <w:rFonts w:eastAsia="Times New Roman" w:cs="Aparajita"/>
                <w:snapToGrid w:val="0"/>
              </w:rPr>
              <w:t>or</w:t>
            </w:r>
            <w:r w:rsidRPr="006F2715">
              <w:rPr>
                <w:rFonts w:eastAsia="Times New Roman" w:cs="Aparajita"/>
                <w:snapToGrid w:val="0"/>
              </w:rPr>
              <w:t xml:space="preserve"> lab-specific training guidelines is a violation of the </w:t>
            </w:r>
            <w:hyperlink r:id="rId16" w:history="1">
              <w:r w:rsidRPr="006F2715">
                <w:rPr>
                  <w:rFonts w:eastAsia="Times New Roman" w:cs="Aparajita"/>
                  <w:i/>
                  <w:snapToGrid w:val="0"/>
                  <w:color w:val="0563C1" w:themeColor="hyperlink"/>
                  <w:u w:val="single"/>
                </w:rPr>
                <w:t>University Health &amp; Safety Policy</w:t>
              </w:r>
            </w:hyperlink>
            <w:r w:rsidRPr="006F2715">
              <w:rPr>
                <w:rFonts w:eastAsia="Times New Roman" w:cs="Aparajita"/>
                <w:snapToGrid w:val="0"/>
              </w:rPr>
              <w:t xml:space="preserve"> and </w:t>
            </w:r>
            <w:hyperlink r:id="rId17" w:history="1">
              <w:r w:rsidRPr="006F2715">
                <w:rPr>
                  <w:rFonts w:eastAsia="Times New Roman" w:cs="Aparajita"/>
                  <w:i/>
                  <w:snapToGrid w:val="0"/>
                  <w:color w:val="0563C1" w:themeColor="hyperlink"/>
                  <w:u w:val="single"/>
                </w:rPr>
                <w:t>University Code of Conduct</w:t>
              </w:r>
            </w:hyperlink>
            <w:r w:rsidR="002B1DB7" w:rsidRPr="006F2715">
              <w:rPr>
                <w:rFonts w:eastAsia="Times New Roman" w:cs="Aparajita"/>
                <w:snapToGrid w:val="0"/>
              </w:rPr>
              <w:t>.</w:t>
            </w:r>
          </w:p>
          <w:p w14:paraId="6B8C71C4" w14:textId="77777777" w:rsidR="0060252D" w:rsidRPr="006F2715" w:rsidRDefault="0060252D" w:rsidP="000570F1">
            <w:pPr>
              <w:widowControl w:val="0"/>
              <w:spacing w:before="80" w:after="80" w:line="240" w:lineRule="auto"/>
              <w:rPr>
                <w:rFonts w:eastAsia="Times New Roman" w:cs="Aparajita"/>
                <w:snapToGrid w:val="0"/>
              </w:rPr>
            </w:pPr>
            <w:r w:rsidRPr="006F2715">
              <w:rPr>
                <w:rFonts w:eastAsia="Times New Roman" w:cs="Aparajita"/>
                <w:snapToGrid w:val="0"/>
              </w:rPr>
              <w:t xml:space="preserve">Further approval </w:t>
            </w:r>
            <w:r w:rsidR="002B1DB7" w:rsidRPr="006F2715">
              <w:rPr>
                <w:rFonts w:eastAsia="Times New Roman" w:cs="Aparajita"/>
                <w:snapToGrid w:val="0"/>
              </w:rPr>
              <w:t>and/or review of this LSOP by</w:t>
            </w:r>
            <w:r w:rsidRPr="006F2715">
              <w:rPr>
                <w:rFonts w:eastAsia="Times New Roman" w:cs="Aparajita"/>
                <w:snapToGrid w:val="0"/>
              </w:rPr>
              <w:t xml:space="preserve"> the PI/Supervisor is required if any of the following events occur:</w:t>
            </w:r>
          </w:p>
          <w:p w14:paraId="05F55F12" w14:textId="77777777" w:rsidR="0060252D" w:rsidRPr="006F2715" w:rsidRDefault="0060252D" w:rsidP="0060252D">
            <w:pPr>
              <w:widowControl w:val="0"/>
              <w:numPr>
                <w:ilvl w:val="0"/>
                <w:numId w:val="5"/>
              </w:numPr>
              <w:shd w:val="clear" w:color="auto" w:fill="FFFFFF"/>
              <w:spacing w:after="0" w:line="240" w:lineRule="auto"/>
              <w:contextualSpacing/>
              <w:rPr>
                <w:rFonts w:eastAsia="Times New Roman" w:cs="Aparajita"/>
              </w:rPr>
            </w:pPr>
            <w:r w:rsidRPr="006F2715">
              <w:rPr>
                <w:rFonts w:eastAsia="Times New Roman" w:cs="Aparajita"/>
              </w:rPr>
              <w:t xml:space="preserve">A </w:t>
            </w:r>
            <w:r w:rsidR="00E51A8A" w:rsidRPr="006F2715">
              <w:rPr>
                <w:rFonts w:eastAsia="Times New Roman" w:cs="Aparajita"/>
              </w:rPr>
              <w:t xml:space="preserve">significant </w:t>
            </w:r>
            <w:r w:rsidRPr="006F2715">
              <w:rPr>
                <w:rFonts w:eastAsia="Times New Roman" w:cs="Aparajita"/>
              </w:rPr>
              <w:t>change in amount (</w:t>
            </w:r>
            <w:r w:rsidR="00E51A8A" w:rsidRPr="006F2715">
              <w:rPr>
                <w:rFonts w:eastAsia="Times New Roman" w:cs="Aparajita"/>
              </w:rPr>
              <w:t>i.e., doubling of the scale of reaction</w:t>
            </w:r>
            <w:r w:rsidRPr="006F2715">
              <w:rPr>
                <w:rFonts w:eastAsia="Times New Roman" w:cs="Aparajita"/>
              </w:rPr>
              <w:t>) or substitution of the chemicals in the procedure is planned</w:t>
            </w:r>
          </w:p>
          <w:p w14:paraId="314CFA8D" w14:textId="77777777" w:rsidR="0060252D" w:rsidRPr="006F2715" w:rsidRDefault="0060252D" w:rsidP="0060252D">
            <w:pPr>
              <w:widowControl w:val="0"/>
              <w:numPr>
                <w:ilvl w:val="0"/>
                <w:numId w:val="5"/>
              </w:numPr>
              <w:shd w:val="clear" w:color="auto" w:fill="FFFFFF"/>
              <w:spacing w:after="0" w:line="240" w:lineRule="auto"/>
              <w:rPr>
                <w:rFonts w:eastAsia="Times New Roman" w:cs="Aparajita"/>
              </w:rPr>
            </w:pPr>
            <w:r w:rsidRPr="006F2715">
              <w:rPr>
                <w:rFonts w:eastAsia="Times New Roman" w:cs="Aparajita"/>
              </w:rPr>
              <w:t xml:space="preserve">A </w:t>
            </w:r>
            <w:r w:rsidR="00A17111" w:rsidRPr="006F2715">
              <w:rPr>
                <w:rFonts w:eastAsia="Times New Roman" w:cs="Aparajita"/>
              </w:rPr>
              <w:t xml:space="preserve">major </w:t>
            </w:r>
            <w:r w:rsidRPr="006F2715">
              <w:rPr>
                <w:rFonts w:eastAsia="Times New Roman" w:cs="Aparajita"/>
              </w:rPr>
              <w:t>change in the agreed-upon experimental set-up is planned</w:t>
            </w:r>
            <w:r w:rsidR="00A17111" w:rsidRPr="006F2715">
              <w:rPr>
                <w:rFonts w:eastAsia="Times New Roman" w:cs="Aparajita"/>
              </w:rPr>
              <w:t xml:space="preserve"> (heating instead of room temp, etc.)</w:t>
            </w:r>
          </w:p>
          <w:p w14:paraId="7134B1DC" w14:textId="77777777" w:rsidR="0060252D" w:rsidRPr="006F2715" w:rsidRDefault="00A17111" w:rsidP="0060252D">
            <w:pPr>
              <w:widowControl w:val="0"/>
              <w:numPr>
                <w:ilvl w:val="0"/>
                <w:numId w:val="5"/>
              </w:numPr>
              <w:shd w:val="clear" w:color="auto" w:fill="FFFFFF"/>
              <w:spacing w:after="0" w:line="240" w:lineRule="auto"/>
              <w:rPr>
                <w:rFonts w:eastAsia="Times New Roman" w:cs="Aparajita"/>
              </w:rPr>
            </w:pPr>
            <w:r w:rsidRPr="006F2715">
              <w:rPr>
                <w:rFonts w:eastAsia="Times New Roman" w:cs="Aparajita"/>
              </w:rPr>
              <w:t>Any s</w:t>
            </w:r>
            <w:r w:rsidR="0060252D" w:rsidRPr="006F2715">
              <w:rPr>
                <w:rFonts w:eastAsia="Times New Roman" w:cs="Aparajita"/>
              </w:rPr>
              <w:t>igns of a failure in safety design or equipment are observed</w:t>
            </w:r>
          </w:p>
          <w:p w14:paraId="0D983F6F" w14:textId="77777777" w:rsidR="0060252D" w:rsidRPr="006F2715" w:rsidRDefault="00A17111" w:rsidP="0060252D">
            <w:pPr>
              <w:widowControl w:val="0"/>
              <w:numPr>
                <w:ilvl w:val="0"/>
                <w:numId w:val="5"/>
              </w:numPr>
              <w:shd w:val="clear" w:color="auto" w:fill="FFFFFF"/>
              <w:spacing w:after="0" w:line="240" w:lineRule="auto"/>
              <w:contextualSpacing/>
              <w:rPr>
                <w:rFonts w:eastAsia="Times New Roman" w:cs="Aparajita"/>
              </w:rPr>
            </w:pPr>
            <w:r w:rsidRPr="006F2715">
              <w:rPr>
                <w:rFonts w:eastAsia="Times New Roman" w:cs="Aparajita"/>
              </w:rPr>
              <w:t>Any s</w:t>
            </w:r>
            <w:r w:rsidR="0060252D" w:rsidRPr="006F2715">
              <w:rPr>
                <w:rFonts w:eastAsia="Times New Roman" w:cs="Aparajita"/>
              </w:rPr>
              <w:t>igns or symptoms of a chemical exposure to any personnel are observed</w:t>
            </w:r>
          </w:p>
          <w:p w14:paraId="24C63834" w14:textId="77777777" w:rsidR="00C76674" w:rsidRPr="006F2715" w:rsidRDefault="0060252D" w:rsidP="00C85102">
            <w:pPr>
              <w:widowControl w:val="0"/>
              <w:numPr>
                <w:ilvl w:val="0"/>
                <w:numId w:val="5"/>
              </w:numPr>
              <w:shd w:val="clear" w:color="auto" w:fill="FFFFFF"/>
              <w:spacing w:after="0" w:line="240" w:lineRule="auto"/>
              <w:contextualSpacing/>
              <w:rPr>
                <w:rFonts w:eastAsia="Times New Roman" w:cs="Aparajita"/>
              </w:rPr>
            </w:pPr>
            <w:r w:rsidRPr="006F2715">
              <w:rPr>
                <w:rFonts w:eastAsia="Times New Roman" w:cs="Aparajita"/>
              </w:rPr>
              <w:t xml:space="preserve">Unexpected and/or potentially dangerous experimental results occur (e.g., fire, </w:t>
            </w:r>
            <w:r w:rsidRPr="006F2715">
              <w:rPr>
                <w:rFonts w:eastAsia="Times New Roman" w:cs="Helvetica"/>
                <w:snapToGrid w:val="0"/>
                <w:shd w:val="clear" w:color="auto" w:fill="FFFFFF"/>
              </w:rPr>
              <w:t>uncontrolled buildup of heat and/or pressure,</w:t>
            </w:r>
            <w:r w:rsidRPr="006F2715">
              <w:rPr>
                <w:rFonts w:eastAsia="Times New Roman" w:cs="Aparajita"/>
              </w:rPr>
              <w:t xml:space="preserve"> etc.)</w:t>
            </w:r>
            <w:r w:rsidR="00E51A8A" w:rsidRPr="006F2715">
              <w:rPr>
                <w:rFonts w:eastAsia="Times New Roman" w:cs="Aparajita"/>
              </w:rPr>
              <w:br/>
            </w:r>
          </w:p>
        </w:tc>
      </w:tr>
      <w:tr w:rsidR="002B1DB7" w:rsidRPr="006F2715" w14:paraId="5FB8FF89" w14:textId="77777777" w:rsidTr="00F716E8">
        <w:trPr>
          <w:trHeight w:val="638"/>
        </w:trPr>
        <w:tc>
          <w:tcPr>
            <w:tcW w:w="6750" w:type="dxa"/>
            <w:shd w:val="clear" w:color="auto" w:fill="D9D9D9" w:themeFill="background1" w:themeFillShade="D9"/>
            <w:vAlign w:val="center"/>
          </w:tcPr>
          <w:p w14:paraId="7D262FB4" w14:textId="77777777" w:rsidR="002B1DB7" w:rsidRPr="006F2715" w:rsidRDefault="002B1DB7" w:rsidP="0060252D">
            <w:pPr>
              <w:widowControl w:val="0"/>
              <w:spacing w:after="0" w:line="240" w:lineRule="auto"/>
              <w:jc w:val="center"/>
              <w:rPr>
                <w:rFonts w:eastAsia="Times New Roman" w:cs="Aparajita"/>
                <w:b/>
                <w:snapToGrid w:val="0"/>
                <w:sz w:val="24"/>
                <w:szCs w:val="24"/>
              </w:rPr>
            </w:pPr>
            <w:r w:rsidRPr="006F2715">
              <w:rPr>
                <w:rFonts w:eastAsia="Times New Roman" w:cs="Aparajita"/>
                <w:b/>
                <w:snapToGrid w:val="0"/>
                <w:sz w:val="24"/>
                <w:szCs w:val="24"/>
              </w:rPr>
              <w:t>Researcher Name/Signature</w:t>
            </w:r>
          </w:p>
        </w:tc>
        <w:tc>
          <w:tcPr>
            <w:tcW w:w="2788" w:type="dxa"/>
            <w:shd w:val="clear" w:color="auto" w:fill="D9D9D9" w:themeFill="background1" w:themeFillShade="D9"/>
            <w:vAlign w:val="center"/>
          </w:tcPr>
          <w:p w14:paraId="3D00FDFB" w14:textId="77777777" w:rsidR="002B1DB7" w:rsidRPr="006F2715" w:rsidRDefault="002B1DB7" w:rsidP="0060252D">
            <w:pPr>
              <w:widowControl w:val="0"/>
              <w:spacing w:after="0" w:line="240" w:lineRule="auto"/>
              <w:jc w:val="center"/>
              <w:rPr>
                <w:rFonts w:eastAsia="Times New Roman" w:cs="Aparajita"/>
                <w:b/>
                <w:snapToGrid w:val="0"/>
                <w:sz w:val="24"/>
                <w:szCs w:val="24"/>
              </w:rPr>
            </w:pPr>
            <w:r w:rsidRPr="006F2715">
              <w:rPr>
                <w:rFonts w:eastAsia="Times New Roman" w:cs="Aparajita"/>
                <w:b/>
                <w:snapToGrid w:val="0"/>
                <w:sz w:val="24"/>
                <w:szCs w:val="24"/>
              </w:rPr>
              <w:t>Trainer Name/Signature</w:t>
            </w:r>
          </w:p>
        </w:tc>
        <w:tc>
          <w:tcPr>
            <w:tcW w:w="1172" w:type="dxa"/>
            <w:shd w:val="clear" w:color="auto" w:fill="D9D9D9" w:themeFill="background1" w:themeFillShade="D9"/>
            <w:vAlign w:val="center"/>
          </w:tcPr>
          <w:p w14:paraId="6A1C6E1B" w14:textId="77777777" w:rsidR="002B1DB7" w:rsidRPr="006F2715" w:rsidRDefault="002B1DB7" w:rsidP="0060252D">
            <w:pPr>
              <w:widowControl w:val="0"/>
              <w:spacing w:after="0" w:line="240" w:lineRule="auto"/>
              <w:jc w:val="center"/>
              <w:rPr>
                <w:rFonts w:eastAsia="Times New Roman" w:cs="Aparajita"/>
                <w:b/>
                <w:snapToGrid w:val="0"/>
                <w:sz w:val="24"/>
                <w:szCs w:val="24"/>
              </w:rPr>
            </w:pPr>
            <w:r w:rsidRPr="006F2715">
              <w:rPr>
                <w:rFonts w:eastAsia="Times New Roman" w:cs="Aparajita"/>
                <w:b/>
                <w:snapToGrid w:val="0"/>
                <w:sz w:val="24"/>
                <w:szCs w:val="24"/>
              </w:rPr>
              <w:t>Training Date</w:t>
            </w:r>
          </w:p>
        </w:tc>
      </w:tr>
      <w:tr w:rsidR="002B1DB7" w:rsidRPr="006F2715" w14:paraId="6552650B" w14:textId="77777777" w:rsidTr="00F716E8">
        <w:trPr>
          <w:trHeight w:val="720"/>
        </w:trPr>
        <w:tc>
          <w:tcPr>
            <w:tcW w:w="6750" w:type="dxa"/>
            <w:shd w:val="clear" w:color="auto" w:fill="FFFFFF" w:themeFill="background1"/>
            <w:vAlign w:val="center"/>
          </w:tcPr>
          <w:p w14:paraId="57302307" w14:textId="77777777" w:rsidR="002B1DB7" w:rsidRPr="006F2715"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6CBCB1D6" w14:textId="77777777" w:rsidR="002B1DB7" w:rsidRPr="006F2715" w:rsidRDefault="002B1DB7" w:rsidP="00C85102">
            <w:pPr>
              <w:widowControl w:val="0"/>
              <w:spacing w:after="0" w:line="240" w:lineRule="auto"/>
              <w:rPr>
                <w:rFonts w:eastAsia="Times New Roman" w:cs="Aparajita"/>
                <w:snapToGrid w:val="0"/>
              </w:rPr>
            </w:pPr>
          </w:p>
        </w:tc>
        <w:tc>
          <w:tcPr>
            <w:tcW w:w="1172" w:type="dxa"/>
            <w:shd w:val="clear" w:color="auto" w:fill="FFFFFF" w:themeFill="background1"/>
            <w:vAlign w:val="center"/>
          </w:tcPr>
          <w:p w14:paraId="1DFF46F8" w14:textId="77777777" w:rsidR="002B1DB7" w:rsidRPr="006F2715" w:rsidRDefault="002B1DB7" w:rsidP="00C85102">
            <w:pPr>
              <w:widowControl w:val="0"/>
              <w:spacing w:after="0" w:line="240" w:lineRule="auto"/>
              <w:rPr>
                <w:rFonts w:eastAsia="Times New Roman" w:cs="Aparajita"/>
                <w:snapToGrid w:val="0"/>
              </w:rPr>
            </w:pPr>
          </w:p>
        </w:tc>
      </w:tr>
      <w:tr w:rsidR="002B1DB7" w:rsidRPr="006F2715" w14:paraId="2DC9C85A" w14:textId="77777777" w:rsidTr="00F716E8">
        <w:trPr>
          <w:trHeight w:val="720"/>
        </w:trPr>
        <w:tc>
          <w:tcPr>
            <w:tcW w:w="6750" w:type="dxa"/>
            <w:shd w:val="clear" w:color="auto" w:fill="FFFFFF" w:themeFill="background1"/>
            <w:vAlign w:val="center"/>
          </w:tcPr>
          <w:p w14:paraId="24FB45BE" w14:textId="77777777" w:rsidR="002B1DB7" w:rsidRPr="006F2715"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56AF4F55" w14:textId="77777777" w:rsidR="002B1DB7" w:rsidRPr="006F2715" w:rsidRDefault="002B1DB7" w:rsidP="00C85102">
            <w:pPr>
              <w:widowControl w:val="0"/>
              <w:spacing w:after="0" w:line="240" w:lineRule="auto"/>
              <w:rPr>
                <w:rFonts w:eastAsia="Times New Roman" w:cs="Aparajita"/>
                <w:snapToGrid w:val="0"/>
              </w:rPr>
            </w:pPr>
          </w:p>
        </w:tc>
        <w:tc>
          <w:tcPr>
            <w:tcW w:w="1172" w:type="dxa"/>
            <w:shd w:val="clear" w:color="auto" w:fill="FFFFFF" w:themeFill="background1"/>
            <w:vAlign w:val="center"/>
          </w:tcPr>
          <w:p w14:paraId="1E834A65" w14:textId="77777777" w:rsidR="002B1DB7" w:rsidRPr="006F2715" w:rsidRDefault="002B1DB7" w:rsidP="00C85102">
            <w:pPr>
              <w:widowControl w:val="0"/>
              <w:spacing w:after="0" w:line="240" w:lineRule="auto"/>
              <w:rPr>
                <w:rFonts w:eastAsia="Times New Roman" w:cs="Aparajita"/>
                <w:snapToGrid w:val="0"/>
              </w:rPr>
            </w:pPr>
          </w:p>
        </w:tc>
      </w:tr>
      <w:tr w:rsidR="002B1DB7" w:rsidRPr="006F2715" w14:paraId="65B2AE81" w14:textId="77777777" w:rsidTr="00F716E8">
        <w:trPr>
          <w:trHeight w:val="720"/>
        </w:trPr>
        <w:tc>
          <w:tcPr>
            <w:tcW w:w="6750" w:type="dxa"/>
            <w:shd w:val="clear" w:color="auto" w:fill="FFFFFF" w:themeFill="background1"/>
            <w:vAlign w:val="center"/>
          </w:tcPr>
          <w:p w14:paraId="3117FF5C" w14:textId="77777777" w:rsidR="002B1DB7" w:rsidRPr="006F2715"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00AC3E06" w14:textId="77777777" w:rsidR="002B1DB7" w:rsidRPr="006F2715" w:rsidRDefault="002B1DB7" w:rsidP="00C85102">
            <w:pPr>
              <w:widowControl w:val="0"/>
              <w:spacing w:after="0" w:line="240" w:lineRule="auto"/>
              <w:rPr>
                <w:rFonts w:eastAsia="Times New Roman" w:cs="Aparajita"/>
                <w:snapToGrid w:val="0"/>
              </w:rPr>
            </w:pPr>
          </w:p>
        </w:tc>
        <w:tc>
          <w:tcPr>
            <w:tcW w:w="1172" w:type="dxa"/>
            <w:shd w:val="clear" w:color="auto" w:fill="FFFFFF" w:themeFill="background1"/>
            <w:vAlign w:val="center"/>
          </w:tcPr>
          <w:p w14:paraId="6AD4183C" w14:textId="77777777" w:rsidR="002B1DB7" w:rsidRPr="006F2715" w:rsidRDefault="002B1DB7" w:rsidP="00C85102">
            <w:pPr>
              <w:widowControl w:val="0"/>
              <w:spacing w:after="0" w:line="240" w:lineRule="auto"/>
              <w:rPr>
                <w:rFonts w:eastAsia="Times New Roman" w:cs="Aparajita"/>
                <w:snapToGrid w:val="0"/>
              </w:rPr>
            </w:pPr>
          </w:p>
        </w:tc>
      </w:tr>
      <w:tr w:rsidR="002B1DB7" w:rsidRPr="006F2715" w14:paraId="36D5533A" w14:textId="77777777" w:rsidTr="00F716E8">
        <w:trPr>
          <w:trHeight w:val="720"/>
        </w:trPr>
        <w:tc>
          <w:tcPr>
            <w:tcW w:w="6750" w:type="dxa"/>
            <w:shd w:val="clear" w:color="auto" w:fill="FFFFFF" w:themeFill="background1"/>
            <w:vAlign w:val="center"/>
          </w:tcPr>
          <w:p w14:paraId="12DD8839" w14:textId="77777777" w:rsidR="002B1DB7" w:rsidRPr="006F2715"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57BFA1C3" w14:textId="77777777" w:rsidR="002B1DB7" w:rsidRPr="006F2715" w:rsidRDefault="002B1DB7" w:rsidP="00C85102">
            <w:pPr>
              <w:widowControl w:val="0"/>
              <w:spacing w:after="0" w:line="240" w:lineRule="auto"/>
              <w:rPr>
                <w:rFonts w:eastAsia="Times New Roman" w:cs="Aparajita"/>
                <w:snapToGrid w:val="0"/>
              </w:rPr>
            </w:pPr>
          </w:p>
        </w:tc>
        <w:tc>
          <w:tcPr>
            <w:tcW w:w="1172" w:type="dxa"/>
            <w:shd w:val="clear" w:color="auto" w:fill="FFFFFF" w:themeFill="background1"/>
            <w:vAlign w:val="center"/>
          </w:tcPr>
          <w:p w14:paraId="6DAD9260" w14:textId="77777777" w:rsidR="002B1DB7" w:rsidRPr="006F2715" w:rsidRDefault="002B1DB7" w:rsidP="00C85102">
            <w:pPr>
              <w:widowControl w:val="0"/>
              <w:spacing w:after="0" w:line="240" w:lineRule="auto"/>
              <w:rPr>
                <w:rFonts w:eastAsia="Times New Roman" w:cs="Aparajita"/>
                <w:snapToGrid w:val="0"/>
              </w:rPr>
            </w:pPr>
          </w:p>
        </w:tc>
      </w:tr>
      <w:tr w:rsidR="002B1DB7" w:rsidRPr="006F2715" w14:paraId="67CBCA20" w14:textId="77777777" w:rsidTr="00F716E8">
        <w:trPr>
          <w:trHeight w:val="720"/>
        </w:trPr>
        <w:tc>
          <w:tcPr>
            <w:tcW w:w="6750" w:type="dxa"/>
            <w:shd w:val="clear" w:color="auto" w:fill="FFFFFF" w:themeFill="background1"/>
            <w:vAlign w:val="center"/>
          </w:tcPr>
          <w:p w14:paraId="30E6B6B5" w14:textId="77777777" w:rsidR="002B1DB7" w:rsidRPr="006F2715"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1DFC010B" w14:textId="77777777" w:rsidR="002B1DB7" w:rsidRPr="006F2715" w:rsidRDefault="002B1DB7" w:rsidP="00C85102">
            <w:pPr>
              <w:widowControl w:val="0"/>
              <w:spacing w:after="0" w:line="240" w:lineRule="auto"/>
              <w:rPr>
                <w:rFonts w:eastAsia="Times New Roman" w:cs="Aparajita"/>
                <w:snapToGrid w:val="0"/>
              </w:rPr>
            </w:pPr>
          </w:p>
        </w:tc>
        <w:tc>
          <w:tcPr>
            <w:tcW w:w="1172" w:type="dxa"/>
            <w:shd w:val="clear" w:color="auto" w:fill="FFFFFF" w:themeFill="background1"/>
            <w:vAlign w:val="center"/>
          </w:tcPr>
          <w:p w14:paraId="67C0BAD1" w14:textId="77777777" w:rsidR="002B1DB7" w:rsidRPr="006F2715" w:rsidRDefault="002B1DB7" w:rsidP="00C85102">
            <w:pPr>
              <w:widowControl w:val="0"/>
              <w:spacing w:after="0" w:line="240" w:lineRule="auto"/>
              <w:rPr>
                <w:rFonts w:eastAsia="Times New Roman" w:cs="Aparajita"/>
                <w:snapToGrid w:val="0"/>
              </w:rPr>
            </w:pPr>
          </w:p>
        </w:tc>
      </w:tr>
      <w:tr w:rsidR="002B1DB7" w:rsidRPr="006F2715" w14:paraId="172EE79A" w14:textId="77777777" w:rsidTr="00F716E8">
        <w:trPr>
          <w:trHeight w:val="720"/>
        </w:trPr>
        <w:tc>
          <w:tcPr>
            <w:tcW w:w="6750" w:type="dxa"/>
            <w:shd w:val="clear" w:color="auto" w:fill="FFFFFF" w:themeFill="background1"/>
            <w:vAlign w:val="center"/>
          </w:tcPr>
          <w:p w14:paraId="1016248A" w14:textId="77777777" w:rsidR="002B1DB7" w:rsidRPr="006F2715"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3C847FB9" w14:textId="77777777" w:rsidR="002B1DB7" w:rsidRPr="006F2715" w:rsidRDefault="002B1DB7" w:rsidP="00C85102">
            <w:pPr>
              <w:widowControl w:val="0"/>
              <w:spacing w:after="0" w:line="240" w:lineRule="auto"/>
              <w:rPr>
                <w:rFonts w:eastAsia="Times New Roman" w:cs="Aparajita"/>
                <w:snapToGrid w:val="0"/>
              </w:rPr>
            </w:pPr>
          </w:p>
        </w:tc>
        <w:tc>
          <w:tcPr>
            <w:tcW w:w="1172" w:type="dxa"/>
            <w:shd w:val="clear" w:color="auto" w:fill="FFFFFF" w:themeFill="background1"/>
            <w:vAlign w:val="center"/>
          </w:tcPr>
          <w:p w14:paraId="4224C1E3" w14:textId="77777777" w:rsidR="002B1DB7" w:rsidRPr="006F2715" w:rsidRDefault="002B1DB7" w:rsidP="00C85102">
            <w:pPr>
              <w:widowControl w:val="0"/>
              <w:spacing w:after="0" w:line="240" w:lineRule="auto"/>
              <w:rPr>
                <w:rFonts w:eastAsia="Times New Roman" w:cs="Aparajita"/>
                <w:snapToGrid w:val="0"/>
              </w:rPr>
            </w:pPr>
          </w:p>
        </w:tc>
      </w:tr>
      <w:tr w:rsidR="002B1DB7" w:rsidRPr="006F2715" w14:paraId="06545927" w14:textId="77777777" w:rsidTr="00F716E8">
        <w:trPr>
          <w:trHeight w:val="720"/>
        </w:trPr>
        <w:tc>
          <w:tcPr>
            <w:tcW w:w="6750" w:type="dxa"/>
            <w:shd w:val="clear" w:color="auto" w:fill="FFFFFF" w:themeFill="background1"/>
            <w:vAlign w:val="center"/>
          </w:tcPr>
          <w:p w14:paraId="7D77B304" w14:textId="77777777" w:rsidR="002B1DB7" w:rsidRPr="006F2715"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741BA9DE" w14:textId="77777777" w:rsidR="002B1DB7" w:rsidRPr="006F2715" w:rsidRDefault="002B1DB7" w:rsidP="00C85102">
            <w:pPr>
              <w:widowControl w:val="0"/>
              <w:spacing w:after="0" w:line="240" w:lineRule="auto"/>
              <w:rPr>
                <w:rFonts w:eastAsia="Times New Roman" w:cs="Aparajita"/>
                <w:snapToGrid w:val="0"/>
              </w:rPr>
            </w:pPr>
          </w:p>
        </w:tc>
        <w:tc>
          <w:tcPr>
            <w:tcW w:w="1172" w:type="dxa"/>
            <w:shd w:val="clear" w:color="auto" w:fill="FFFFFF" w:themeFill="background1"/>
            <w:vAlign w:val="center"/>
          </w:tcPr>
          <w:p w14:paraId="6450AEF2" w14:textId="77777777" w:rsidR="002B1DB7" w:rsidRPr="006F2715" w:rsidRDefault="002B1DB7" w:rsidP="00C85102">
            <w:pPr>
              <w:widowControl w:val="0"/>
              <w:spacing w:after="0" w:line="240" w:lineRule="auto"/>
              <w:rPr>
                <w:rFonts w:eastAsia="Times New Roman" w:cs="Aparajita"/>
                <w:snapToGrid w:val="0"/>
              </w:rPr>
            </w:pPr>
          </w:p>
        </w:tc>
      </w:tr>
      <w:tr w:rsidR="002B1DB7" w:rsidRPr="006F2715" w14:paraId="06BEC8B5" w14:textId="77777777" w:rsidTr="00F716E8">
        <w:trPr>
          <w:trHeight w:val="720"/>
        </w:trPr>
        <w:tc>
          <w:tcPr>
            <w:tcW w:w="6750" w:type="dxa"/>
            <w:shd w:val="clear" w:color="auto" w:fill="FFFFFF" w:themeFill="background1"/>
            <w:vAlign w:val="center"/>
          </w:tcPr>
          <w:p w14:paraId="6CECDB79" w14:textId="77777777" w:rsidR="002B1DB7" w:rsidRPr="006F2715"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55AC9489" w14:textId="77777777" w:rsidR="002B1DB7" w:rsidRPr="006F2715" w:rsidRDefault="002B1DB7" w:rsidP="00C85102">
            <w:pPr>
              <w:widowControl w:val="0"/>
              <w:spacing w:after="0" w:line="240" w:lineRule="auto"/>
              <w:rPr>
                <w:rFonts w:eastAsia="Times New Roman" w:cs="Aparajita"/>
                <w:snapToGrid w:val="0"/>
              </w:rPr>
            </w:pPr>
          </w:p>
        </w:tc>
        <w:tc>
          <w:tcPr>
            <w:tcW w:w="1172" w:type="dxa"/>
            <w:shd w:val="clear" w:color="auto" w:fill="FFFFFF" w:themeFill="background1"/>
            <w:vAlign w:val="center"/>
          </w:tcPr>
          <w:p w14:paraId="58CB350B" w14:textId="77777777" w:rsidR="002B1DB7" w:rsidRPr="006F2715" w:rsidRDefault="002B1DB7" w:rsidP="00C85102">
            <w:pPr>
              <w:widowControl w:val="0"/>
              <w:spacing w:after="0" w:line="240" w:lineRule="auto"/>
              <w:rPr>
                <w:rFonts w:eastAsia="Times New Roman" w:cs="Aparajita"/>
                <w:snapToGrid w:val="0"/>
              </w:rPr>
            </w:pPr>
          </w:p>
        </w:tc>
      </w:tr>
      <w:tr w:rsidR="0060252D" w:rsidRPr="006F2715" w14:paraId="3E83616B" w14:textId="77777777" w:rsidTr="00F716E8">
        <w:trPr>
          <w:trHeight w:val="432"/>
        </w:trPr>
        <w:tc>
          <w:tcPr>
            <w:tcW w:w="10710" w:type="dxa"/>
            <w:gridSpan w:val="3"/>
            <w:shd w:val="clear" w:color="auto" w:fill="000E2F"/>
            <w:vAlign w:val="center"/>
          </w:tcPr>
          <w:p w14:paraId="602675D5" w14:textId="77777777" w:rsidR="0060252D" w:rsidRPr="006F2715" w:rsidRDefault="00174A02" w:rsidP="0060252D">
            <w:pPr>
              <w:widowControl w:val="0"/>
              <w:spacing w:after="0" w:line="240" w:lineRule="auto"/>
              <w:rPr>
                <w:rFonts w:eastAsia="Times New Roman" w:cs="Aparajita"/>
                <w:b/>
                <w:snapToGrid w:val="0"/>
                <w:sz w:val="24"/>
                <w:szCs w:val="24"/>
              </w:rPr>
            </w:pPr>
            <w:r w:rsidRPr="006F2715">
              <w:rPr>
                <w:rFonts w:eastAsia="Times New Roman" w:cs="Aparajita"/>
                <w:b/>
                <w:snapToGrid w:val="0"/>
                <w:sz w:val="24"/>
                <w:szCs w:val="24"/>
              </w:rPr>
              <w:t>SECTION 12B.</w:t>
            </w:r>
            <w:r w:rsidRPr="006F2715">
              <w:rPr>
                <w:rFonts w:cs="Aparajita"/>
                <w:b/>
                <w:sz w:val="24"/>
                <w:szCs w:val="24"/>
              </w:rPr>
              <w:t xml:space="preserve">    PRINCIPAL INVESTIGATOR CERTIFICATION</w:t>
            </w:r>
          </w:p>
        </w:tc>
      </w:tr>
      <w:tr w:rsidR="0060252D" w:rsidRPr="006F2715" w14:paraId="2F5E2D28" w14:textId="77777777" w:rsidTr="00F716E8">
        <w:trPr>
          <w:trHeight w:val="432"/>
        </w:trPr>
        <w:tc>
          <w:tcPr>
            <w:tcW w:w="10710" w:type="dxa"/>
            <w:gridSpan w:val="3"/>
            <w:shd w:val="clear" w:color="auto" w:fill="FFFFFF" w:themeFill="background1"/>
            <w:vAlign w:val="center"/>
          </w:tcPr>
          <w:p w14:paraId="513D1512" w14:textId="77777777" w:rsidR="0060252D" w:rsidRPr="006F2715" w:rsidRDefault="0060252D" w:rsidP="004A0961">
            <w:pPr>
              <w:widowControl w:val="0"/>
              <w:spacing w:before="40" w:after="40" w:line="240" w:lineRule="auto"/>
              <w:rPr>
                <w:rFonts w:eastAsia="Times New Roman" w:cs="Aparajita"/>
                <w:snapToGrid w:val="0"/>
              </w:rPr>
            </w:pPr>
            <w:r w:rsidRPr="006F2715">
              <w:rPr>
                <w:rFonts w:eastAsia="Times New Roman" w:cs="Aparajita"/>
                <w:snapToGrid w:val="0"/>
              </w:rPr>
              <w:t xml:space="preserve">I approve the contents of the </w:t>
            </w:r>
            <w:r w:rsidR="003603B7" w:rsidRPr="006F2715">
              <w:rPr>
                <w:rFonts w:eastAsia="Times New Roman" w:cs="Aparajita"/>
                <w:snapToGrid w:val="0"/>
              </w:rPr>
              <w:t xml:space="preserve">lab-specific </w:t>
            </w:r>
            <w:r w:rsidRPr="006F2715">
              <w:rPr>
                <w:rFonts w:eastAsia="Times New Roman" w:cs="Aparajita"/>
                <w:snapToGrid w:val="0"/>
              </w:rPr>
              <w:t>standard operating procedure listed above</w:t>
            </w:r>
            <w:r w:rsidR="004A0961" w:rsidRPr="006F2715">
              <w:rPr>
                <w:rFonts w:eastAsia="Times New Roman" w:cs="Aparajita"/>
                <w:snapToGrid w:val="0"/>
              </w:rPr>
              <w:t>.</w:t>
            </w:r>
          </w:p>
        </w:tc>
      </w:tr>
      <w:tr w:rsidR="004A0961" w:rsidRPr="006F2715" w14:paraId="3F85F5E3" w14:textId="77777777" w:rsidTr="00F716E8">
        <w:trPr>
          <w:trHeight w:val="827"/>
        </w:trPr>
        <w:tc>
          <w:tcPr>
            <w:tcW w:w="9538" w:type="dxa"/>
            <w:gridSpan w:val="2"/>
            <w:shd w:val="clear" w:color="auto" w:fill="FFFFFF" w:themeFill="background1"/>
          </w:tcPr>
          <w:p w14:paraId="4AF7144C" w14:textId="77777777" w:rsidR="0060252D" w:rsidRPr="006F2715" w:rsidRDefault="00012B2D" w:rsidP="002B1DB7">
            <w:pPr>
              <w:widowControl w:val="0"/>
              <w:spacing w:before="120" w:after="0" w:line="240" w:lineRule="auto"/>
              <w:rPr>
                <w:rFonts w:eastAsia="Times New Roman" w:cs="Aparajita"/>
                <w:b/>
                <w:snapToGrid w:val="0"/>
              </w:rPr>
            </w:pPr>
            <w:r w:rsidRPr="006F2715">
              <w:rPr>
                <w:rFonts w:eastAsia="Times New Roman" w:cs="Aparajita"/>
                <w:b/>
                <w:snapToGrid w:val="0"/>
              </w:rPr>
              <w:t xml:space="preserve">PI </w:t>
            </w:r>
            <w:r w:rsidR="0060252D" w:rsidRPr="006F2715">
              <w:rPr>
                <w:rFonts w:eastAsia="Times New Roman" w:cs="Aparajita"/>
                <w:b/>
                <w:snapToGrid w:val="0"/>
              </w:rPr>
              <w:t>Signature:</w:t>
            </w:r>
          </w:p>
        </w:tc>
        <w:tc>
          <w:tcPr>
            <w:tcW w:w="1172" w:type="dxa"/>
            <w:shd w:val="clear" w:color="auto" w:fill="FFFFFF" w:themeFill="background1"/>
          </w:tcPr>
          <w:p w14:paraId="03D28D5E" w14:textId="77777777" w:rsidR="0060252D" w:rsidRPr="006F2715" w:rsidRDefault="0060252D" w:rsidP="002B1DB7">
            <w:pPr>
              <w:widowControl w:val="0"/>
              <w:spacing w:before="120" w:after="0" w:line="240" w:lineRule="auto"/>
              <w:rPr>
                <w:rFonts w:eastAsia="Times New Roman" w:cs="Aparajita"/>
                <w:b/>
                <w:snapToGrid w:val="0"/>
              </w:rPr>
            </w:pPr>
            <w:r w:rsidRPr="006F2715">
              <w:rPr>
                <w:rFonts w:eastAsia="Times New Roman" w:cs="Aparajita"/>
                <w:b/>
                <w:snapToGrid w:val="0"/>
              </w:rPr>
              <w:t>Date:</w:t>
            </w:r>
          </w:p>
        </w:tc>
      </w:tr>
      <w:tr w:rsidR="0060252D" w:rsidRPr="006F2715" w14:paraId="009A6B17" w14:textId="77777777" w:rsidTr="00F716E8">
        <w:trPr>
          <w:trHeight w:val="432"/>
        </w:trPr>
        <w:tc>
          <w:tcPr>
            <w:tcW w:w="10710" w:type="dxa"/>
            <w:gridSpan w:val="3"/>
            <w:shd w:val="clear" w:color="auto" w:fill="000E2F"/>
            <w:vAlign w:val="center"/>
          </w:tcPr>
          <w:p w14:paraId="1136DBC9" w14:textId="77777777" w:rsidR="0060252D" w:rsidRPr="006F2715" w:rsidRDefault="00174A02" w:rsidP="00174A02">
            <w:pPr>
              <w:widowControl w:val="0"/>
              <w:spacing w:after="0" w:line="240" w:lineRule="auto"/>
              <w:jc w:val="center"/>
              <w:rPr>
                <w:rFonts w:eastAsia="Times New Roman" w:cs="Aparajita"/>
                <w:b/>
                <w:snapToGrid w:val="0"/>
                <w:sz w:val="24"/>
                <w:szCs w:val="24"/>
              </w:rPr>
            </w:pPr>
            <w:r w:rsidRPr="006F2715">
              <w:rPr>
                <w:rFonts w:eastAsia="Times New Roman" w:cs="Aparajita"/>
                <w:b/>
                <w:snapToGrid w:val="0"/>
                <w:sz w:val="24"/>
                <w:szCs w:val="24"/>
              </w:rPr>
              <w:t xml:space="preserve">A HARD OR ELECTRONIC COPY </w:t>
            </w:r>
            <w:r w:rsidR="004A0961" w:rsidRPr="006F2715">
              <w:rPr>
                <w:rFonts w:eastAsia="Times New Roman" w:cs="Aparajita"/>
                <w:b/>
                <w:snapToGrid w:val="0"/>
                <w:sz w:val="24"/>
                <w:szCs w:val="24"/>
              </w:rPr>
              <w:t>(</w:t>
            </w:r>
            <w:r w:rsidR="002B1DB7" w:rsidRPr="006F2715">
              <w:rPr>
                <w:rFonts w:eastAsia="Times New Roman" w:cs="Aparajita"/>
                <w:b/>
                <w:snapToGrid w:val="0"/>
                <w:sz w:val="24"/>
                <w:szCs w:val="24"/>
              </w:rPr>
              <w:t xml:space="preserve">https://bruckner.research.uconn.edu/safety-resources/) </w:t>
            </w:r>
            <w:r w:rsidRPr="006F2715">
              <w:rPr>
                <w:rFonts w:eastAsia="Times New Roman" w:cs="Aparajita"/>
                <w:b/>
                <w:snapToGrid w:val="0"/>
                <w:sz w:val="24"/>
                <w:szCs w:val="24"/>
              </w:rPr>
              <w:t>OF EACH LAB-SPECIF</w:t>
            </w:r>
            <w:r w:rsidR="002B1DB7" w:rsidRPr="006F2715">
              <w:rPr>
                <w:rFonts w:eastAsia="Times New Roman" w:cs="Aparajita"/>
                <w:b/>
                <w:snapToGrid w:val="0"/>
                <w:sz w:val="24"/>
                <w:szCs w:val="24"/>
              </w:rPr>
              <w:t xml:space="preserve">IC STANDARD OPERATING PROCEDURE </w:t>
            </w:r>
            <w:r w:rsidRPr="006F2715">
              <w:rPr>
                <w:rFonts w:eastAsia="Times New Roman" w:cs="Aparajita"/>
                <w:b/>
                <w:snapToGrid w:val="0"/>
                <w:sz w:val="24"/>
                <w:szCs w:val="24"/>
              </w:rPr>
              <w:t>MUST BE READILY AVAILBALE IN THE LAB.</w:t>
            </w:r>
          </w:p>
        </w:tc>
      </w:tr>
    </w:tbl>
    <w:p w14:paraId="3F0B0641" w14:textId="77777777" w:rsidR="00A274E1" w:rsidRPr="006F2715" w:rsidRDefault="00A274E1" w:rsidP="002B1DB7">
      <w:pPr>
        <w:pStyle w:val="Heading1"/>
        <w:keepNext w:val="0"/>
        <w:keepLines w:val="0"/>
        <w:rPr>
          <w:rStyle w:val="A5"/>
          <w:rFonts w:asciiTheme="minorHAnsi" w:hAnsiTheme="minorHAnsi" w:cstheme="majorBidi"/>
          <w:color w:val="2E74B5" w:themeColor="accent1" w:themeShade="BF"/>
        </w:rPr>
      </w:pPr>
    </w:p>
    <w:sectPr w:rsidR="00A274E1" w:rsidRPr="006F2715" w:rsidSect="002B1DB7">
      <w:headerReference w:type="default" r:id="rId18"/>
      <w:footerReference w:type="default" r:id="rId19"/>
      <w:headerReference w:type="first" r:id="rId20"/>
      <w:footerReference w:type="first" r:id="rId21"/>
      <w:pgSz w:w="12240" w:h="15840"/>
      <w:pgMar w:top="1071" w:right="1440" w:bottom="1035" w:left="1440" w:header="288"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30AA" w14:textId="77777777" w:rsidR="00440E1E" w:rsidRDefault="00440E1E" w:rsidP="00F47BA4">
      <w:pPr>
        <w:spacing w:after="0" w:line="240" w:lineRule="auto"/>
      </w:pPr>
      <w:r>
        <w:separator/>
      </w:r>
    </w:p>
  </w:endnote>
  <w:endnote w:type="continuationSeparator" w:id="0">
    <w:p w14:paraId="61F89C4B" w14:textId="77777777" w:rsidR="00440E1E" w:rsidRDefault="00440E1E"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arajita">
    <w:altName w:val="Devanagari Sangam MN"/>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7D1E2BC2" w14:textId="77777777" w:rsidR="00461004" w:rsidRPr="00400B2C" w:rsidRDefault="00461004" w:rsidP="00AC441D">
            <w:pPr>
              <w:pStyle w:val="Footer"/>
              <w:jc w:val="right"/>
            </w:pPr>
            <w:r w:rsidRPr="00400B2C">
              <w:rPr>
                <w:sz w:val="20"/>
                <w:szCs w:val="20"/>
              </w:rPr>
              <w:t xml:space="preserve">Page </w:t>
            </w:r>
            <w:r w:rsidRPr="00400B2C">
              <w:rPr>
                <w:bCs/>
                <w:sz w:val="20"/>
                <w:szCs w:val="20"/>
              </w:rPr>
              <w:fldChar w:fldCharType="begin"/>
            </w:r>
            <w:r w:rsidRPr="00400B2C">
              <w:rPr>
                <w:bCs/>
                <w:sz w:val="20"/>
                <w:szCs w:val="20"/>
              </w:rPr>
              <w:instrText xml:space="preserve"> PAGE </w:instrText>
            </w:r>
            <w:r w:rsidRPr="00400B2C">
              <w:rPr>
                <w:bCs/>
                <w:sz w:val="20"/>
                <w:szCs w:val="20"/>
              </w:rPr>
              <w:fldChar w:fldCharType="separate"/>
            </w:r>
            <w:r w:rsidR="0071612A">
              <w:rPr>
                <w:bCs/>
                <w:noProof/>
                <w:sz w:val="20"/>
                <w:szCs w:val="20"/>
              </w:rPr>
              <w:t>4</w:t>
            </w:r>
            <w:r w:rsidRPr="00400B2C">
              <w:rPr>
                <w:bCs/>
                <w:sz w:val="20"/>
                <w:szCs w:val="20"/>
              </w:rPr>
              <w:fldChar w:fldCharType="end"/>
            </w:r>
            <w:r w:rsidRPr="00400B2C">
              <w:rPr>
                <w:sz w:val="20"/>
                <w:szCs w:val="20"/>
              </w:rPr>
              <w:t xml:space="preserve"> of </w:t>
            </w:r>
            <w:r w:rsidRPr="00400B2C">
              <w:rPr>
                <w:bCs/>
                <w:sz w:val="20"/>
                <w:szCs w:val="20"/>
              </w:rPr>
              <w:fldChar w:fldCharType="begin"/>
            </w:r>
            <w:r w:rsidRPr="00400B2C">
              <w:rPr>
                <w:bCs/>
                <w:sz w:val="20"/>
                <w:szCs w:val="20"/>
              </w:rPr>
              <w:instrText xml:space="preserve"> NUMPAGES  </w:instrText>
            </w:r>
            <w:r w:rsidRPr="00400B2C">
              <w:rPr>
                <w:bCs/>
                <w:sz w:val="20"/>
                <w:szCs w:val="20"/>
              </w:rPr>
              <w:fldChar w:fldCharType="separate"/>
            </w:r>
            <w:r w:rsidR="0071612A">
              <w:rPr>
                <w:bCs/>
                <w:noProof/>
                <w:sz w:val="20"/>
                <w:szCs w:val="20"/>
              </w:rPr>
              <w:t>4</w:t>
            </w:r>
            <w:r w:rsidRPr="00400B2C">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2D2A2A02" w14:textId="4A51A5A5" w:rsidR="00E14F85" w:rsidRPr="00400B2C" w:rsidRDefault="00400B2C" w:rsidP="00400B2C">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71612A">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71612A">
                  <w:rPr>
                    <w:bCs/>
                    <w:noProof/>
                    <w:sz w:val="20"/>
                    <w:szCs w:val="20"/>
                  </w:rPr>
                  <w:t>4</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7D7F" w14:textId="77777777" w:rsidR="00440E1E" w:rsidRDefault="00440E1E" w:rsidP="00F47BA4">
      <w:pPr>
        <w:spacing w:after="0" w:line="240" w:lineRule="auto"/>
      </w:pPr>
      <w:r>
        <w:separator/>
      </w:r>
    </w:p>
  </w:footnote>
  <w:footnote w:type="continuationSeparator" w:id="0">
    <w:p w14:paraId="70E34BA7" w14:textId="77777777" w:rsidR="00440E1E" w:rsidRDefault="00440E1E"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6762"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0684" w14:textId="73D7EEB4" w:rsidR="00C85102" w:rsidRPr="00A46824" w:rsidRDefault="00630E7B" w:rsidP="00A46824">
    <w:pPr>
      <w:tabs>
        <w:tab w:val="center" w:pos="4680"/>
        <w:tab w:val="right" w:pos="9360"/>
      </w:tabs>
      <w:spacing w:after="0" w:line="240" w:lineRule="auto"/>
      <w:ind w:left="-576"/>
    </w:pPr>
    <w:r w:rsidRPr="00630E7B">
      <w:rPr>
        <w:noProof/>
      </w:rPr>
      <mc:AlternateContent>
        <mc:Choice Requires="wps">
          <w:drawing>
            <wp:anchor distT="0" distB="0" distL="114300" distR="114300" simplePos="0" relativeHeight="251659264" behindDoc="0" locked="0" layoutInCell="1" allowOverlap="1" wp14:anchorId="488CE6E9" wp14:editId="6083575A">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74251D94"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4EEC9D44"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88CE6E9" id="_x0000_t202" coordsize="21600,21600" o:spt="202" path="m0,0l0,21600,21600,21600,21600,0xe">
              <v:stroke joinstyle="miter"/>
              <v:path gradientshapeok="t" o:connecttype="rect"/>
            </v:shapetype>
            <v:shape id="Text Box 6" o:spid="_x0000_s1026" type="#_x0000_t202" style="position:absolute;left:0;text-align:left;margin-left:228pt;margin-top:-5.3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" fillcolor="window" stroked="f" strokeweight=".5pt">
              <v:path arrowok="t"/>
              <v:textbox>
                <w:txbxContent>
                  <w:p w14:paraId="74251D94"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4EEC9D44"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29BB0850" wp14:editId="073ABF21">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1C12"/>
    <w:multiLevelType w:val="hybridMultilevel"/>
    <w:tmpl w:val="E4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086845"/>
    <w:multiLevelType w:val="hybridMultilevel"/>
    <w:tmpl w:val="C44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28B1"/>
    <w:multiLevelType w:val="hybridMultilevel"/>
    <w:tmpl w:val="9702A6CC"/>
    <w:lvl w:ilvl="0" w:tplc="B97C4B00">
      <w:start w:val="6"/>
      <w:numFmt w:val="bullet"/>
      <w:lvlText w:val="•"/>
      <w:lvlJc w:val="left"/>
      <w:pPr>
        <w:ind w:left="1440" w:hanging="720"/>
      </w:pPr>
      <w:rPr>
        <w:rFonts w:ascii="Calibri" w:eastAsia="Times New Roman" w:hAnsi="Calibri" w:cs="Aparajit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9D3366"/>
    <w:multiLevelType w:val="hybridMultilevel"/>
    <w:tmpl w:val="57D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65D00"/>
    <w:multiLevelType w:val="hybridMultilevel"/>
    <w:tmpl w:val="DB107956"/>
    <w:lvl w:ilvl="0" w:tplc="3EB63AD0">
      <w:numFmt w:val="bullet"/>
      <w:lvlText w:val="•"/>
      <w:lvlJc w:val="left"/>
      <w:pPr>
        <w:ind w:left="1080" w:hanging="72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E3656"/>
    <w:multiLevelType w:val="hybridMultilevel"/>
    <w:tmpl w:val="76645B5E"/>
    <w:lvl w:ilvl="0" w:tplc="973A285E">
      <w:numFmt w:val="bullet"/>
      <w:lvlText w:val="•"/>
      <w:lvlJc w:val="left"/>
      <w:pPr>
        <w:ind w:left="1080" w:hanging="72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10FBE"/>
    <w:multiLevelType w:val="hybridMultilevel"/>
    <w:tmpl w:val="05364608"/>
    <w:lvl w:ilvl="0" w:tplc="B97C4B00">
      <w:start w:val="6"/>
      <w:numFmt w:val="bullet"/>
      <w:lvlText w:val="•"/>
      <w:lvlJc w:val="left"/>
      <w:pPr>
        <w:ind w:left="1080" w:hanging="72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77E3D"/>
    <w:multiLevelType w:val="hybridMultilevel"/>
    <w:tmpl w:val="83CA77F2"/>
    <w:lvl w:ilvl="0" w:tplc="B97C4B00">
      <w:start w:val="6"/>
      <w:numFmt w:val="bullet"/>
      <w:lvlText w:val="•"/>
      <w:lvlJc w:val="left"/>
      <w:pPr>
        <w:ind w:left="1080" w:hanging="72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B57B2"/>
    <w:multiLevelType w:val="hybridMultilevel"/>
    <w:tmpl w:val="1F2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91B4F"/>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0393C"/>
    <w:multiLevelType w:val="hybridMultilevel"/>
    <w:tmpl w:val="0462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30062"/>
    <w:multiLevelType w:val="hybridMultilevel"/>
    <w:tmpl w:val="B4128C44"/>
    <w:lvl w:ilvl="0" w:tplc="B97C4B00">
      <w:start w:val="6"/>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B23C9"/>
    <w:multiLevelType w:val="hybridMultilevel"/>
    <w:tmpl w:val="045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A0F24"/>
    <w:multiLevelType w:val="hybridMultilevel"/>
    <w:tmpl w:val="E77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13BCD"/>
    <w:multiLevelType w:val="hybridMultilevel"/>
    <w:tmpl w:val="91A8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A7B39"/>
    <w:multiLevelType w:val="hybridMultilevel"/>
    <w:tmpl w:val="1E94840C"/>
    <w:lvl w:ilvl="0" w:tplc="973A285E">
      <w:numFmt w:val="bullet"/>
      <w:lvlText w:val="•"/>
      <w:lvlJc w:val="left"/>
      <w:pPr>
        <w:ind w:left="1080" w:hanging="72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63056"/>
    <w:multiLevelType w:val="hybridMultilevel"/>
    <w:tmpl w:val="1708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8761C"/>
    <w:multiLevelType w:val="hybridMultilevel"/>
    <w:tmpl w:val="ABAA4636"/>
    <w:lvl w:ilvl="0" w:tplc="B97C4B00">
      <w:start w:val="6"/>
      <w:numFmt w:val="bullet"/>
      <w:lvlText w:val="•"/>
      <w:lvlJc w:val="left"/>
      <w:pPr>
        <w:ind w:left="1080" w:hanging="72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A0FD0"/>
    <w:multiLevelType w:val="hybridMultilevel"/>
    <w:tmpl w:val="DEFA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D5F3C"/>
    <w:multiLevelType w:val="hybridMultilevel"/>
    <w:tmpl w:val="9580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03CD3"/>
    <w:multiLevelType w:val="hybridMultilevel"/>
    <w:tmpl w:val="03DEB21C"/>
    <w:lvl w:ilvl="0" w:tplc="973A285E">
      <w:numFmt w:val="bullet"/>
      <w:lvlText w:val="•"/>
      <w:lvlJc w:val="left"/>
      <w:pPr>
        <w:ind w:left="1080" w:hanging="72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6C29EE"/>
    <w:multiLevelType w:val="hybridMultilevel"/>
    <w:tmpl w:val="95E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153A6"/>
    <w:multiLevelType w:val="hybridMultilevel"/>
    <w:tmpl w:val="131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A24DC"/>
    <w:multiLevelType w:val="hybridMultilevel"/>
    <w:tmpl w:val="F58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A4DA7"/>
    <w:multiLevelType w:val="hybridMultilevel"/>
    <w:tmpl w:val="82FA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7"/>
  </w:num>
  <w:num w:numId="5">
    <w:abstractNumId w:val="10"/>
  </w:num>
  <w:num w:numId="6">
    <w:abstractNumId w:val="28"/>
  </w:num>
  <w:num w:numId="7">
    <w:abstractNumId w:val="12"/>
  </w:num>
  <w:num w:numId="8">
    <w:abstractNumId w:val="22"/>
  </w:num>
  <w:num w:numId="9">
    <w:abstractNumId w:val="3"/>
  </w:num>
  <w:num w:numId="10">
    <w:abstractNumId w:val="1"/>
  </w:num>
  <w:num w:numId="11">
    <w:abstractNumId w:val="35"/>
  </w:num>
  <w:num w:numId="12">
    <w:abstractNumId w:val="17"/>
  </w:num>
  <w:num w:numId="13">
    <w:abstractNumId w:val="34"/>
  </w:num>
  <w:num w:numId="14">
    <w:abstractNumId w:val="11"/>
  </w:num>
  <w:num w:numId="15">
    <w:abstractNumId w:val="8"/>
  </w:num>
  <w:num w:numId="16">
    <w:abstractNumId w:val="4"/>
  </w:num>
  <w:num w:numId="17">
    <w:abstractNumId w:val="9"/>
  </w:num>
  <w:num w:numId="18">
    <w:abstractNumId w:val="27"/>
  </w:num>
  <w:num w:numId="19">
    <w:abstractNumId w:val="19"/>
  </w:num>
  <w:num w:numId="20">
    <w:abstractNumId w:val="33"/>
  </w:num>
  <w:num w:numId="21">
    <w:abstractNumId w:val="23"/>
  </w:num>
  <w:num w:numId="22">
    <w:abstractNumId w:val="21"/>
  </w:num>
  <w:num w:numId="23">
    <w:abstractNumId w:val="16"/>
  </w:num>
  <w:num w:numId="24">
    <w:abstractNumId w:val="36"/>
  </w:num>
  <w:num w:numId="25">
    <w:abstractNumId w:val="6"/>
  </w:num>
  <w:num w:numId="26">
    <w:abstractNumId w:val="5"/>
  </w:num>
  <w:num w:numId="27">
    <w:abstractNumId w:val="31"/>
  </w:num>
  <w:num w:numId="28">
    <w:abstractNumId w:val="32"/>
  </w:num>
  <w:num w:numId="29">
    <w:abstractNumId w:val="13"/>
  </w:num>
  <w:num w:numId="30">
    <w:abstractNumId w:val="15"/>
  </w:num>
  <w:num w:numId="31">
    <w:abstractNumId w:val="20"/>
  </w:num>
  <w:num w:numId="32">
    <w:abstractNumId w:val="0"/>
  </w:num>
  <w:num w:numId="33">
    <w:abstractNumId w:val="2"/>
  </w:num>
  <w:num w:numId="34">
    <w:abstractNumId w:val="25"/>
  </w:num>
  <w:num w:numId="35">
    <w:abstractNumId w:val="29"/>
  </w:num>
  <w:num w:numId="36">
    <w:abstractNumId w:val="26"/>
  </w:num>
  <w:num w:numId="37">
    <w:abstractNumId w:val="30"/>
  </w:num>
  <w:num w:numId="38">
    <w:abstractNumId w:val="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945127"/>
    <w:rsid w:val="0000125A"/>
    <w:rsid w:val="000045BC"/>
    <w:rsid w:val="00012B2D"/>
    <w:rsid w:val="00035807"/>
    <w:rsid w:val="000570F1"/>
    <w:rsid w:val="000630A4"/>
    <w:rsid w:val="00093F40"/>
    <w:rsid w:val="00102016"/>
    <w:rsid w:val="00105131"/>
    <w:rsid w:val="00113202"/>
    <w:rsid w:val="0011390D"/>
    <w:rsid w:val="00134C1B"/>
    <w:rsid w:val="001662FD"/>
    <w:rsid w:val="001711BA"/>
    <w:rsid w:val="00174A02"/>
    <w:rsid w:val="00181E6C"/>
    <w:rsid w:val="00190254"/>
    <w:rsid w:val="001C59EE"/>
    <w:rsid w:val="001E2D4E"/>
    <w:rsid w:val="00202ED1"/>
    <w:rsid w:val="002111F0"/>
    <w:rsid w:val="00230C36"/>
    <w:rsid w:val="00241FD1"/>
    <w:rsid w:val="002521BB"/>
    <w:rsid w:val="002561C3"/>
    <w:rsid w:val="00292B8E"/>
    <w:rsid w:val="002B1DB7"/>
    <w:rsid w:val="002C02A0"/>
    <w:rsid w:val="002D3171"/>
    <w:rsid w:val="00302DE4"/>
    <w:rsid w:val="003603B7"/>
    <w:rsid w:val="00362737"/>
    <w:rsid w:val="00370010"/>
    <w:rsid w:val="00372EFD"/>
    <w:rsid w:val="00391962"/>
    <w:rsid w:val="003D78C0"/>
    <w:rsid w:val="003E3343"/>
    <w:rsid w:val="003F5148"/>
    <w:rsid w:val="00400B2C"/>
    <w:rsid w:val="004074D6"/>
    <w:rsid w:val="00417B69"/>
    <w:rsid w:val="00427210"/>
    <w:rsid w:val="00440E1E"/>
    <w:rsid w:val="00454B4E"/>
    <w:rsid w:val="00456C66"/>
    <w:rsid w:val="00461004"/>
    <w:rsid w:val="00466E18"/>
    <w:rsid w:val="00481C75"/>
    <w:rsid w:val="00482C81"/>
    <w:rsid w:val="004928C6"/>
    <w:rsid w:val="0049363C"/>
    <w:rsid w:val="004A0961"/>
    <w:rsid w:val="004D48FE"/>
    <w:rsid w:val="004D7938"/>
    <w:rsid w:val="004F7A77"/>
    <w:rsid w:val="00510912"/>
    <w:rsid w:val="00512C43"/>
    <w:rsid w:val="00517B30"/>
    <w:rsid w:val="00572E92"/>
    <w:rsid w:val="00574749"/>
    <w:rsid w:val="00595E1A"/>
    <w:rsid w:val="005A63AD"/>
    <w:rsid w:val="005A7FCC"/>
    <w:rsid w:val="005B4023"/>
    <w:rsid w:val="005B5F6D"/>
    <w:rsid w:val="0060252D"/>
    <w:rsid w:val="00607077"/>
    <w:rsid w:val="00630E7B"/>
    <w:rsid w:val="006405D4"/>
    <w:rsid w:val="00665470"/>
    <w:rsid w:val="00686533"/>
    <w:rsid w:val="006A7C58"/>
    <w:rsid w:val="006A7E07"/>
    <w:rsid w:val="006E285F"/>
    <w:rsid w:val="006E4F40"/>
    <w:rsid w:val="006F2715"/>
    <w:rsid w:val="00705A23"/>
    <w:rsid w:val="0071612A"/>
    <w:rsid w:val="007B71F9"/>
    <w:rsid w:val="007D4394"/>
    <w:rsid w:val="007E5EFC"/>
    <w:rsid w:val="00824121"/>
    <w:rsid w:val="00835F4A"/>
    <w:rsid w:val="00842745"/>
    <w:rsid w:val="008D5B83"/>
    <w:rsid w:val="00925070"/>
    <w:rsid w:val="00945127"/>
    <w:rsid w:val="00954999"/>
    <w:rsid w:val="00983D3C"/>
    <w:rsid w:val="00985668"/>
    <w:rsid w:val="0098572B"/>
    <w:rsid w:val="009B0028"/>
    <w:rsid w:val="009B3311"/>
    <w:rsid w:val="009B4542"/>
    <w:rsid w:val="009C65C9"/>
    <w:rsid w:val="009D0311"/>
    <w:rsid w:val="009D52CA"/>
    <w:rsid w:val="009F0B74"/>
    <w:rsid w:val="009F28F5"/>
    <w:rsid w:val="00A030D5"/>
    <w:rsid w:val="00A07683"/>
    <w:rsid w:val="00A12A39"/>
    <w:rsid w:val="00A17111"/>
    <w:rsid w:val="00A23588"/>
    <w:rsid w:val="00A274E1"/>
    <w:rsid w:val="00A31C67"/>
    <w:rsid w:val="00A4057F"/>
    <w:rsid w:val="00A46824"/>
    <w:rsid w:val="00A522B6"/>
    <w:rsid w:val="00A75023"/>
    <w:rsid w:val="00AA654D"/>
    <w:rsid w:val="00AC441D"/>
    <w:rsid w:val="00AE4FA6"/>
    <w:rsid w:val="00AE5261"/>
    <w:rsid w:val="00AF7AAF"/>
    <w:rsid w:val="00B02B5F"/>
    <w:rsid w:val="00B25C2C"/>
    <w:rsid w:val="00B348D7"/>
    <w:rsid w:val="00B6033D"/>
    <w:rsid w:val="00B66A9C"/>
    <w:rsid w:val="00B84A25"/>
    <w:rsid w:val="00BC589A"/>
    <w:rsid w:val="00BE7B97"/>
    <w:rsid w:val="00BF4C67"/>
    <w:rsid w:val="00C06577"/>
    <w:rsid w:val="00C37F40"/>
    <w:rsid w:val="00C67366"/>
    <w:rsid w:val="00C76674"/>
    <w:rsid w:val="00C85102"/>
    <w:rsid w:val="00C94DA5"/>
    <w:rsid w:val="00CB2D2B"/>
    <w:rsid w:val="00CB3CBF"/>
    <w:rsid w:val="00CB54B6"/>
    <w:rsid w:val="00CC5187"/>
    <w:rsid w:val="00CD38FE"/>
    <w:rsid w:val="00CE5449"/>
    <w:rsid w:val="00CE75EA"/>
    <w:rsid w:val="00CE7BEE"/>
    <w:rsid w:val="00D04011"/>
    <w:rsid w:val="00D13523"/>
    <w:rsid w:val="00D2620A"/>
    <w:rsid w:val="00D409EA"/>
    <w:rsid w:val="00D61BA2"/>
    <w:rsid w:val="00D61F7F"/>
    <w:rsid w:val="00D63B1D"/>
    <w:rsid w:val="00D74F73"/>
    <w:rsid w:val="00DE5088"/>
    <w:rsid w:val="00DF0237"/>
    <w:rsid w:val="00DF1BCD"/>
    <w:rsid w:val="00E0236B"/>
    <w:rsid w:val="00E14F85"/>
    <w:rsid w:val="00E33276"/>
    <w:rsid w:val="00E4702C"/>
    <w:rsid w:val="00E5084A"/>
    <w:rsid w:val="00E51A8A"/>
    <w:rsid w:val="00E51A8D"/>
    <w:rsid w:val="00EA36FA"/>
    <w:rsid w:val="00EE3506"/>
    <w:rsid w:val="00EF1869"/>
    <w:rsid w:val="00F117EF"/>
    <w:rsid w:val="00F350F0"/>
    <w:rsid w:val="00F35344"/>
    <w:rsid w:val="00F412E4"/>
    <w:rsid w:val="00F43696"/>
    <w:rsid w:val="00F47BA4"/>
    <w:rsid w:val="00F6708C"/>
    <w:rsid w:val="00F711C6"/>
    <w:rsid w:val="00F716E8"/>
    <w:rsid w:val="00F72EEE"/>
    <w:rsid w:val="00F740EC"/>
    <w:rsid w:val="00FB2E40"/>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2E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4545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hyperlink" Target="http://policy.uconn.edu/2011/05/17/employee-code-of-conduct/" TargetMode="External"/><Relationship Id="rId2" Type="http://schemas.openxmlformats.org/officeDocument/2006/relationships/numbering" Target="numbering.xml"/><Relationship Id="rId16" Type="http://schemas.openxmlformats.org/officeDocument/2006/relationships/hyperlink" Target="http://policy.uconn.edu/2011/05/19/health-and-safet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s.com/" TargetMode="External"/><Relationship Id="rId5" Type="http://schemas.openxmlformats.org/officeDocument/2006/relationships/webSettings" Target="webSettings.xml"/><Relationship Id="rId15" Type="http://schemas.openxmlformats.org/officeDocument/2006/relationships/hyperlink" Target="http://ehs.uconn.edu/Chemical/ChemWasteDisp.pdf" TargetMode="External"/><Relationship Id="rId23" Type="http://schemas.openxmlformats.org/officeDocument/2006/relationships/theme" Target="theme/theme1.xml"/><Relationship Id="rId10" Type="http://schemas.openxmlformats.org/officeDocument/2006/relationships/hyperlink" Target="http://policy.uconn.edu/2012/07/30/working-alone-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ehs.uconn.edu/Regulated%20Waste%20Management/index.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A083-A9DA-F643-9506-2A3A450C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134</TotalTime>
  <Pages>4</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Sharma</dc:creator>
  <cp:keywords/>
  <dc:description/>
  <cp:lastModifiedBy>Christian Brückner</cp:lastModifiedBy>
  <cp:revision>21</cp:revision>
  <cp:lastPrinted>2017-11-27T16:38:00Z</cp:lastPrinted>
  <dcterms:created xsi:type="dcterms:W3CDTF">2017-11-21T22:00:00Z</dcterms:created>
  <dcterms:modified xsi:type="dcterms:W3CDTF">2018-04-18T00:40:00Z</dcterms:modified>
</cp:coreProperties>
</file>