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5423"/>
      </w:tblGrid>
      <w:tr w:rsidR="00777CCD" w14:paraId="490AA4CC" w14:textId="77777777" w:rsidTr="00C9204E">
        <w:trPr>
          <w:trHeight w:val="720"/>
          <w:jc w:val="center"/>
        </w:trPr>
        <w:tc>
          <w:tcPr>
            <w:tcW w:w="10800" w:type="dxa"/>
            <w:gridSpan w:val="2"/>
            <w:shd w:val="clear" w:color="auto" w:fill="10253F"/>
            <w:vAlign w:val="center"/>
          </w:tcPr>
          <w:p w14:paraId="236BC8AC" w14:textId="77777777" w:rsidR="00777CCD" w:rsidRPr="00B66128" w:rsidRDefault="00DF3032">
            <w:pPr>
              <w:pStyle w:val="Normal1"/>
              <w:widowControl w:val="0"/>
              <w:spacing w:before="80" w:after="80" w:line="240" w:lineRule="auto"/>
              <w:jc w:val="center"/>
              <w:rPr>
                <w:rFonts w:ascii="Aparajita" w:eastAsia="Aparajita" w:hAnsi="Aparajita" w:cs="Aparajita"/>
                <w:b/>
                <w:color w:val="FFFFFF"/>
                <w:sz w:val="28"/>
                <w:szCs w:val="28"/>
              </w:rPr>
            </w:pPr>
            <w:r w:rsidRPr="00B66128">
              <w:rPr>
                <w:rFonts w:ascii="Aparajita" w:eastAsia="Aparajita" w:hAnsi="Aparajita" w:cs="Aparajita"/>
                <w:b/>
                <w:color w:val="FFFFFF" w:themeColor="background1"/>
                <w:sz w:val="28"/>
                <w:szCs w:val="28"/>
              </w:rPr>
              <w:t>Brueckner Lab-Specific Stan</w:t>
            </w:r>
            <w:r w:rsidRPr="00B66128">
              <w:rPr>
                <w:rFonts w:ascii="Aparajita" w:eastAsia="Aparajita" w:hAnsi="Aparajita" w:cs="Aparajita"/>
                <w:b/>
                <w:color w:val="FFFFFF"/>
                <w:sz w:val="28"/>
                <w:szCs w:val="28"/>
              </w:rPr>
              <w:t>dard Operating Procedure (LSOP)</w:t>
            </w:r>
          </w:p>
          <w:p w14:paraId="78FE2627" w14:textId="77777777" w:rsidR="00777CCD" w:rsidRDefault="00DF3032">
            <w:pPr>
              <w:pStyle w:val="Normal1"/>
              <w:widowControl w:val="0"/>
              <w:spacing w:before="80" w:after="80" w:line="240" w:lineRule="auto"/>
              <w:jc w:val="center"/>
              <w:rPr>
                <w:rFonts w:ascii="Aparajita" w:eastAsia="Aparajita" w:hAnsi="Aparajita" w:cs="Aparajita"/>
                <w:b/>
                <w:color w:val="FFFFFF"/>
                <w:sz w:val="36"/>
                <w:szCs w:val="36"/>
              </w:rPr>
            </w:pPr>
            <w:r w:rsidRPr="00B66128">
              <w:rPr>
                <w:rFonts w:ascii="Aparajita" w:eastAsia="Aparajita" w:hAnsi="Aparajita" w:cs="Aparajita"/>
                <w:b/>
                <w:color w:val="FFFFFF"/>
                <w:sz w:val="28"/>
                <w:szCs w:val="28"/>
              </w:rPr>
              <w:t xml:space="preserve">Rotary Evaporator </w:t>
            </w:r>
          </w:p>
        </w:tc>
      </w:tr>
      <w:tr w:rsidR="00777CCD" w14:paraId="7C25607F" w14:textId="77777777" w:rsidTr="00C9204E">
        <w:trPr>
          <w:trHeight w:val="420"/>
          <w:jc w:val="center"/>
        </w:trPr>
        <w:tc>
          <w:tcPr>
            <w:tcW w:w="10800" w:type="dxa"/>
            <w:gridSpan w:val="2"/>
            <w:shd w:val="clear" w:color="auto" w:fill="FFFFFF"/>
            <w:vAlign w:val="center"/>
          </w:tcPr>
          <w:p w14:paraId="3860FF0D" w14:textId="77777777" w:rsidR="00777CCD" w:rsidRDefault="00DF3032">
            <w:pPr>
              <w:pStyle w:val="Normal1"/>
              <w:widowControl w:val="0"/>
              <w:spacing w:after="0" w:line="240" w:lineRule="auto"/>
            </w:pPr>
            <w:r>
              <w:rPr>
                <w:b/>
              </w:rPr>
              <w:t>Principal Investigator</w:t>
            </w:r>
            <w:r w:rsidR="00B66128">
              <w:rPr>
                <w:b/>
              </w:rPr>
              <w:t xml:space="preserve"> </w:t>
            </w:r>
            <w:r>
              <w:rPr>
                <w:b/>
              </w:rPr>
              <w:t>(PI):</w:t>
            </w:r>
            <w:r>
              <w:t xml:space="preserve"> Christian Brueckner</w:t>
            </w:r>
          </w:p>
        </w:tc>
      </w:tr>
      <w:tr w:rsidR="00777CCD" w14:paraId="1ED8D088" w14:textId="77777777" w:rsidTr="00C9204E">
        <w:trPr>
          <w:trHeight w:val="420"/>
          <w:jc w:val="center"/>
        </w:trPr>
        <w:tc>
          <w:tcPr>
            <w:tcW w:w="5377" w:type="dxa"/>
            <w:shd w:val="clear" w:color="auto" w:fill="FFFFFF"/>
            <w:vAlign w:val="center"/>
          </w:tcPr>
          <w:p w14:paraId="40F3F2FB" w14:textId="77777777" w:rsidR="00777CCD" w:rsidRDefault="00DF3032">
            <w:pPr>
              <w:pStyle w:val="Normal1"/>
              <w:widowControl w:val="0"/>
              <w:spacing w:after="0" w:line="240" w:lineRule="auto"/>
            </w:pPr>
            <w:r>
              <w:rPr>
                <w:b/>
              </w:rPr>
              <w:t>Building:</w:t>
            </w:r>
            <w:r>
              <w:t xml:space="preserve"> Chemistry</w:t>
            </w:r>
          </w:p>
        </w:tc>
        <w:tc>
          <w:tcPr>
            <w:tcW w:w="5423" w:type="dxa"/>
            <w:shd w:val="clear" w:color="auto" w:fill="FFFFFF"/>
            <w:vAlign w:val="center"/>
          </w:tcPr>
          <w:p w14:paraId="69BD50FC" w14:textId="77777777" w:rsidR="00777CCD" w:rsidRDefault="00DF3032">
            <w:pPr>
              <w:pStyle w:val="Normal1"/>
              <w:widowControl w:val="0"/>
              <w:spacing w:after="0" w:line="240" w:lineRule="auto"/>
            </w:pPr>
            <w:r>
              <w:rPr>
                <w:b/>
              </w:rPr>
              <w:t>Lab(s) Covered by LSOP:</w:t>
            </w:r>
            <w:r>
              <w:t xml:space="preserve"> R413/R415</w:t>
            </w:r>
          </w:p>
        </w:tc>
      </w:tr>
      <w:tr w:rsidR="00777CCD" w14:paraId="4F45E5C8" w14:textId="77777777" w:rsidTr="00C9204E">
        <w:trPr>
          <w:trHeight w:val="420"/>
          <w:jc w:val="center"/>
        </w:trPr>
        <w:tc>
          <w:tcPr>
            <w:tcW w:w="5377" w:type="dxa"/>
            <w:shd w:val="clear" w:color="auto" w:fill="FFFFFF"/>
            <w:vAlign w:val="center"/>
          </w:tcPr>
          <w:p w14:paraId="7EC4A3FB" w14:textId="77777777" w:rsidR="00777CCD" w:rsidRDefault="00DF3032">
            <w:pPr>
              <w:pStyle w:val="Normal1"/>
              <w:widowControl w:val="0"/>
              <w:spacing w:after="0" w:line="240" w:lineRule="auto"/>
            </w:pPr>
            <w:r>
              <w:rPr>
                <w:b/>
              </w:rPr>
              <w:t>Department:</w:t>
            </w:r>
            <w:r>
              <w:t xml:space="preserve"> Chemistry</w:t>
            </w:r>
          </w:p>
        </w:tc>
        <w:tc>
          <w:tcPr>
            <w:tcW w:w="5423" w:type="dxa"/>
            <w:shd w:val="clear" w:color="auto" w:fill="FFFFFF"/>
            <w:vAlign w:val="center"/>
          </w:tcPr>
          <w:p w14:paraId="58D3C553" w14:textId="77777777" w:rsidR="00777CCD" w:rsidRDefault="00DF3032">
            <w:pPr>
              <w:pStyle w:val="Normal1"/>
              <w:widowControl w:val="0"/>
              <w:spacing w:after="0" w:line="240" w:lineRule="auto"/>
            </w:pPr>
            <w:r>
              <w:rPr>
                <w:b/>
              </w:rPr>
              <w:t>Lab Phone Number(s):</w:t>
            </w:r>
            <w:r>
              <w:t xml:space="preserve"> 6-6596/6-6598</w:t>
            </w:r>
          </w:p>
        </w:tc>
      </w:tr>
      <w:tr w:rsidR="00777CCD" w14:paraId="07789490" w14:textId="77777777" w:rsidTr="00C9204E">
        <w:trPr>
          <w:trHeight w:val="420"/>
          <w:jc w:val="center"/>
        </w:trPr>
        <w:tc>
          <w:tcPr>
            <w:tcW w:w="10800" w:type="dxa"/>
            <w:gridSpan w:val="2"/>
            <w:shd w:val="clear" w:color="auto" w:fill="000E2F"/>
            <w:vAlign w:val="center"/>
          </w:tcPr>
          <w:p w14:paraId="478D0152" w14:textId="77777777" w:rsidR="00777CCD" w:rsidRDefault="00DF3032">
            <w:pPr>
              <w:pStyle w:val="Heading1"/>
              <w:spacing w:before="80" w:after="80"/>
              <w:rPr>
                <w:b/>
                <w:sz w:val="24"/>
                <w:szCs w:val="24"/>
              </w:rPr>
            </w:pPr>
            <w:r>
              <w:rPr>
                <w:b/>
                <w:color w:val="FFFFFF"/>
                <w:sz w:val="24"/>
                <w:szCs w:val="24"/>
              </w:rPr>
              <w:t>SECTION 1 – HAZARDOUS CHEMICAL(S) or PROCESS(ES) and HAZARDS INVOLVED</w:t>
            </w:r>
          </w:p>
        </w:tc>
      </w:tr>
      <w:tr w:rsidR="00777CCD" w14:paraId="325A19DF" w14:textId="77777777" w:rsidTr="00C9204E">
        <w:trPr>
          <w:trHeight w:val="5156"/>
          <w:jc w:val="center"/>
        </w:trPr>
        <w:tc>
          <w:tcPr>
            <w:tcW w:w="10800" w:type="dxa"/>
            <w:gridSpan w:val="2"/>
            <w:shd w:val="clear" w:color="auto" w:fill="FFFFFF"/>
            <w:vAlign w:val="center"/>
          </w:tcPr>
          <w:p w14:paraId="37E80FC3" w14:textId="77777777" w:rsidR="00777CCD" w:rsidRDefault="00B66128">
            <w:pPr>
              <w:pStyle w:val="Normal1"/>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contextualSpacing/>
            </w:pPr>
            <w:r>
              <w:t>Vacuum</w:t>
            </w:r>
            <w:r w:rsidR="00F330C3">
              <w:t>,</w:t>
            </w:r>
            <w:r>
              <w:t xml:space="preserve"> and the hazards associated with failing glass ware</w:t>
            </w:r>
            <w:r w:rsidR="00C6095D">
              <w:t xml:space="preserve"> – cuts and </w:t>
            </w:r>
            <w:proofErr w:type="spellStart"/>
            <w:r w:rsidR="00C6095D">
              <w:t>lazerations</w:t>
            </w:r>
            <w:proofErr w:type="spellEnd"/>
          </w:p>
          <w:p w14:paraId="5CB16F33" w14:textId="77777777" w:rsidR="00C6095D" w:rsidRDefault="00C6095D" w:rsidP="00C6095D">
            <w:pPr>
              <w:pStyle w:val="Normal1"/>
              <w:numPr>
                <w:ilvl w:val="0"/>
                <w:numId w:val="13"/>
              </w:numPr>
              <w:shd w:val="clear" w:color="auto" w:fill="FFFFFF"/>
              <w:contextualSpacing/>
            </w:pPr>
            <w:r w:rsidRPr="00C6095D">
              <w:t>The rotary evaporator is an electrical machine with water cooling – this combination poses an</w:t>
            </w:r>
            <w:r>
              <w:t xml:space="preserve"> electrocution risk</w:t>
            </w:r>
          </w:p>
          <w:p w14:paraId="1E03DCAF" w14:textId="77777777" w:rsidR="00C6095D" w:rsidRPr="00C6095D" w:rsidRDefault="00C6095D" w:rsidP="00C6095D">
            <w:pPr>
              <w:pStyle w:val="Normal1"/>
              <w:numPr>
                <w:ilvl w:val="0"/>
                <w:numId w:val="13"/>
              </w:numPr>
              <w:shd w:val="clear" w:color="auto" w:fill="FFFFFF"/>
              <w:contextualSpacing/>
            </w:pPr>
            <w:r w:rsidRPr="00C6095D">
              <w:t>The rotary evaporator has a heated water bath that can reach temperatures up to 100°C and poses a</w:t>
            </w:r>
            <w:r>
              <w:t xml:space="preserve"> risk of burns</w:t>
            </w:r>
          </w:p>
          <w:p w14:paraId="1535E14C" w14:textId="77777777" w:rsidR="00777CCD" w:rsidRDefault="00B66128">
            <w:pPr>
              <w:pStyle w:val="Normal1"/>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contextualSpacing/>
            </w:pPr>
            <w:r>
              <w:t>Hazards associated with the chemicals in the flask</w:t>
            </w:r>
          </w:p>
          <w:p w14:paraId="4F10CB2B" w14:textId="77777777" w:rsidR="00C6095D" w:rsidRDefault="00C6095D" w:rsidP="00C6095D">
            <w:pPr>
              <w:pStyle w:val="Normal1"/>
              <w:numPr>
                <w:ilvl w:val="0"/>
                <w:numId w:val="13"/>
              </w:numPr>
              <w:shd w:val="clear" w:color="auto" w:fill="FFFFFF"/>
              <w:contextualSpacing/>
            </w:pPr>
            <w:r w:rsidRPr="00C6095D">
              <w:t>The rotary evaporator has parts that rota</w:t>
            </w:r>
            <w:r>
              <w:t>te rapidly and poses a risk of entanglement</w:t>
            </w:r>
          </w:p>
          <w:p w14:paraId="524F110E" w14:textId="77777777" w:rsidR="00C6095D" w:rsidRDefault="00C6095D" w:rsidP="00C6095D">
            <w:pPr>
              <w:pStyle w:val="Normal1"/>
              <w:numPr>
                <w:ilvl w:val="0"/>
                <w:numId w:val="13"/>
              </w:numPr>
              <w:spacing w:before="80" w:after="80"/>
              <w:contextualSpacing/>
            </w:pPr>
            <w:r w:rsidRPr="00C6095D">
              <w:t>The rotary evaporator is used to remove volatile solvents that are</w:t>
            </w:r>
            <w:r>
              <w:t xml:space="preserve"> also flammable and poses a fire </w:t>
            </w:r>
            <w:r w:rsidRPr="00C6095D">
              <w:t>risk.</w:t>
            </w:r>
          </w:p>
          <w:p w14:paraId="3E4E1729" w14:textId="77777777" w:rsidR="00B66128" w:rsidRDefault="00C6095D" w:rsidP="00C6095D">
            <w:pPr>
              <w:pStyle w:val="Normal1"/>
              <w:numPr>
                <w:ilvl w:val="0"/>
                <w:numId w:val="13"/>
              </w:numPr>
              <w:spacing w:before="80" w:after="80"/>
              <w:contextualSpacing/>
            </w:pPr>
            <w:r>
              <w:t>Other h</w:t>
            </w:r>
            <w:r w:rsidR="00B66128">
              <w:t>azards associated with the solvents to be evaporated:</w:t>
            </w:r>
          </w:p>
          <w:p w14:paraId="54DB47E6" w14:textId="77777777" w:rsidR="00B66128" w:rsidRDefault="00B66128" w:rsidP="00B66128">
            <w:pPr>
              <w:pStyle w:val="Normal1"/>
              <w:widowControl w:val="0"/>
              <w:numPr>
                <w:ilvl w:val="1"/>
                <w:numId w:val="13"/>
              </w:numPr>
              <w:spacing w:before="80" w:after="80" w:line="240" w:lineRule="auto"/>
              <w:contextualSpacing/>
            </w:pPr>
            <w:r>
              <w:t>Skin or eye irritation</w:t>
            </w:r>
          </w:p>
          <w:p w14:paraId="7B6231BF" w14:textId="77777777" w:rsidR="00B66128" w:rsidRDefault="00B66128" w:rsidP="00B66128">
            <w:pPr>
              <w:pStyle w:val="Normal1"/>
              <w:widowControl w:val="0"/>
              <w:numPr>
                <w:ilvl w:val="1"/>
                <w:numId w:val="13"/>
              </w:numPr>
              <w:spacing w:before="80" w:after="80" w:line="240" w:lineRule="auto"/>
              <w:contextualSpacing/>
            </w:pPr>
            <w:r>
              <w:rPr>
                <w:highlight w:val="white"/>
              </w:rPr>
              <w:t>Skin defatting or dermatitis from prolonged or repeated skin exposure</w:t>
            </w:r>
          </w:p>
          <w:p w14:paraId="011B5B82" w14:textId="77777777" w:rsidR="00B66128" w:rsidRDefault="00B66128" w:rsidP="00B66128">
            <w:pPr>
              <w:pStyle w:val="Normal1"/>
              <w:widowControl w:val="0"/>
              <w:numPr>
                <w:ilvl w:val="1"/>
                <w:numId w:val="13"/>
              </w:numPr>
              <w:pBdr>
                <w:top w:val="none" w:sz="0" w:space="0" w:color="auto"/>
                <w:left w:val="none" w:sz="0" w:space="25" w:color="auto"/>
                <w:bottom w:val="none" w:sz="0" w:space="0" w:color="auto"/>
                <w:right w:val="none" w:sz="0" w:space="0" w:color="auto"/>
                <w:between w:val="none" w:sz="0" w:space="0" w:color="auto"/>
              </w:pBdr>
              <w:shd w:val="clear" w:color="auto" w:fill="FFFFFF"/>
              <w:spacing w:after="0" w:line="240" w:lineRule="auto"/>
              <w:contextualSpacing/>
            </w:pPr>
            <w:r>
              <w:t>Central nervous system depression</w:t>
            </w:r>
          </w:p>
          <w:p w14:paraId="11924C17" w14:textId="77777777" w:rsidR="00B66128" w:rsidRDefault="00B66128" w:rsidP="00B66128">
            <w:pPr>
              <w:pStyle w:val="Normal1"/>
              <w:widowControl w:val="0"/>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pPr>
            <w:r>
              <w:t>Reproductive and fetal effects</w:t>
            </w:r>
          </w:p>
          <w:p w14:paraId="347DDB3C" w14:textId="77777777" w:rsidR="00B66128" w:rsidRDefault="00B66128" w:rsidP="00B66128">
            <w:pPr>
              <w:pStyle w:val="Normal1"/>
              <w:widowControl w:val="0"/>
              <w:numPr>
                <w:ilvl w:val="1"/>
                <w:numId w:val="13"/>
              </w:numPr>
              <w:pBdr>
                <w:top w:val="none" w:sz="0" w:space="0" w:color="auto"/>
                <w:left w:val="none" w:sz="0" w:space="25" w:color="auto"/>
                <w:bottom w:val="none" w:sz="0" w:space="0" w:color="auto"/>
                <w:right w:val="none" w:sz="0" w:space="0" w:color="auto"/>
                <w:between w:val="none" w:sz="0" w:space="0" w:color="auto"/>
              </w:pBdr>
              <w:shd w:val="clear" w:color="auto" w:fill="FFFFFF"/>
              <w:spacing w:after="0" w:line="240" w:lineRule="auto"/>
              <w:contextualSpacing/>
            </w:pPr>
            <w:r>
              <w:t>Chronic toxic effects, such as liver or kidney effects, from inhalation of solvent vapors</w:t>
            </w:r>
          </w:p>
          <w:p w14:paraId="5B5059B6" w14:textId="77777777" w:rsidR="00B66128" w:rsidRDefault="00B66128" w:rsidP="00B66128">
            <w:pPr>
              <w:pStyle w:val="Normal1"/>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contextualSpacing/>
            </w:pPr>
            <w:r>
              <w:t>Hazards associated with the cryogen dry ice</w:t>
            </w:r>
            <w:r w:rsidR="00F330C3">
              <w:t xml:space="preserve"> – frost burns</w:t>
            </w:r>
          </w:p>
          <w:p w14:paraId="348E7332" w14:textId="77777777" w:rsidR="00F330C3" w:rsidRDefault="00F330C3" w:rsidP="00B66128">
            <w:pPr>
              <w:pStyle w:val="Normal1"/>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contextualSpacing/>
            </w:pPr>
            <w:r>
              <w:t>Hazards associated with the coolant acetone – it is a flammable solvent</w:t>
            </w:r>
          </w:p>
          <w:p w14:paraId="57E61FAD" w14:textId="77777777" w:rsidR="00777CCD" w:rsidRDefault="00F330C3" w:rsidP="00F330C3">
            <w:pPr>
              <w:pStyle w:val="Normal1"/>
              <w:widowControl w:val="0"/>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0"/>
              <w:contextualSpacing/>
            </w:pPr>
            <w:r>
              <w:t>Mechanical hazards when operating a belt-driven vacuum pump</w:t>
            </w:r>
          </w:p>
        </w:tc>
      </w:tr>
      <w:tr w:rsidR="00777CCD" w14:paraId="0D667073" w14:textId="77777777" w:rsidTr="00C9204E">
        <w:trPr>
          <w:trHeight w:val="420"/>
          <w:jc w:val="center"/>
        </w:trPr>
        <w:tc>
          <w:tcPr>
            <w:tcW w:w="10800" w:type="dxa"/>
            <w:gridSpan w:val="2"/>
            <w:shd w:val="clear" w:color="auto" w:fill="000E2F"/>
            <w:vAlign w:val="center"/>
          </w:tcPr>
          <w:p w14:paraId="459F5AAD" w14:textId="77777777" w:rsidR="00777CCD" w:rsidRDefault="00DF3032" w:rsidP="00F330C3">
            <w:pPr>
              <w:pStyle w:val="Heading1"/>
              <w:keepNext w:val="0"/>
              <w:keepLines w:val="0"/>
              <w:spacing w:before="80" w:after="80"/>
              <w:rPr>
                <w:b/>
                <w:color w:val="FFFFFF"/>
                <w:sz w:val="24"/>
                <w:szCs w:val="24"/>
              </w:rPr>
            </w:pPr>
            <w:r>
              <w:rPr>
                <w:b/>
                <w:color w:val="FFFFFF"/>
                <w:sz w:val="24"/>
                <w:szCs w:val="24"/>
              </w:rPr>
              <w:t>SECTION 2 – ADMINISTRATIVE CONTROLS</w:t>
            </w:r>
          </w:p>
        </w:tc>
      </w:tr>
      <w:tr w:rsidR="00777CCD" w14:paraId="606F1BCB" w14:textId="77777777" w:rsidTr="00C9204E">
        <w:trPr>
          <w:trHeight w:val="1340"/>
          <w:jc w:val="center"/>
        </w:trPr>
        <w:tc>
          <w:tcPr>
            <w:tcW w:w="10800" w:type="dxa"/>
            <w:gridSpan w:val="2"/>
            <w:shd w:val="clear" w:color="auto" w:fill="FFFFFF"/>
            <w:vAlign w:val="center"/>
          </w:tcPr>
          <w:p w14:paraId="2DF497D6" w14:textId="77777777" w:rsidR="00DF3032" w:rsidRPr="00DF3032" w:rsidRDefault="00DF3032" w:rsidP="00F330C3">
            <w:pPr>
              <w:pStyle w:val="ListParagraph"/>
              <w:widowControl w:val="0"/>
              <w:numPr>
                <w:ilvl w:val="0"/>
                <w:numId w:val="3"/>
              </w:numPr>
              <w:spacing w:before="120" w:after="120" w:line="240" w:lineRule="auto"/>
              <w:rPr>
                <w:rFonts w:asciiTheme="majorHAnsi" w:hAnsiTheme="majorHAnsi"/>
              </w:rPr>
            </w:pPr>
            <w:r w:rsidRPr="00DF3032">
              <w:rPr>
                <w:rFonts w:asciiTheme="majorHAnsi" w:hAnsiTheme="majorHAnsi"/>
              </w:rPr>
              <w:t xml:space="preserve">Anyone using the chemicals and procedures described herein needs to have undergone the annual EH&amp;S </w:t>
            </w:r>
            <w:hyperlink r:id="rId7" w:history="1">
              <w:r w:rsidRPr="00DF3032">
                <w:rPr>
                  <w:rStyle w:val="Hyperlink"/>
                  <w:rFonts w:asciiTheme="majorHAnsi" w:hAnsiTheme="majorHAnsi"/>
                </w:rPr>
                <w:t>Chemical Hygiene Training</w:t>
              </w:r>
            </w:hyperlink>
          </w:p>
          <w:p w14:paraId="1B71BF17" w14:textId="77777777" w:rsidR="00DF3032" w:rsidRPr="00DF3032" w:rsidRDefault="00DF3032" w:rsidP="00F330C3">
            <w:pPr>
              <w:pStyle w:val="ListParagraph"/>
              <w:widowControl w:val="0"/>
              <w:numPr>
                <w:ilvl w:val="0"/>
                <w:numId w:val="3"/>
              </w:numPr>
              <w:spacing w:before="120" w:after="120" w:line="240" w:lineRule="auto"/>
              <w:rPr>
                <w:rFonts w:asciiTheme="majorHAnsi" w:hAnsiTheme="majorHAnsi"/>
              </w:rPr>
            </w:pPr>
            <w:r w:rsidRPr="00DF3032">
              <w:rPr>
                <w:rFonts w:asciiTheme="majorHAnsi" w:hAnsiTheme="majorHAnsi"/>
              </w:rPr>
              <w:t>Be aware of the applicable safety data sheets (MSDS)</w:t>
            </w:r>
            <w:r>
              <w:rPr>
                <w:rFonts w:asciiTheme="majorHAnsi" w:hAnsiTheme="majorHAnsi"/>
              </w:rPr>
              <w:t xml:space="preserve"> for the solvents/materials you are handling on the rotary evaporator:</w:t>
            </w:r>
            <w:r w:rsidRPr="00DF3032">
              <w:rPr>
                <w:rFonts w:asciiTheme="majorHAnsi" w:hAnsiTheme="majorHAnsi"/>
              </w:rPr>
              <w:t xml:space="preserve"> </w:t>
            </w:r>
            <w:hyperlink r:id="rId8" w:history="1">
              <w:r w:rsidRPr="00DF3032">
                <w:rPr>
                  <w:rStyle w:val="Hyperlink"/>
                  <w:rFonts w:asciiTheme="majorHAnsi" w:eastAsia="Times New Roman" w:hAnsiTheme="majorHAnsi" w:cs="Aparajita"/>
                  <w:snapToGrid w:val="0"/>
                </w:rPr>
                <w:t>http://www.msds.com</w:t>
              </w:r>
            </w:hyperlink>
          </w:p>
          <w:p w14:paraId="75BCA0BB" w14:textId="77777777" w:rsidR="00777CCD" w:rsidRPr="00DF3032" w:rsidRDefault="006856AF" w:rsidP="00F330C3">
            <w:pPr>
              <w:pStyle w:val="ListParagraph"/>
              <w:widowControl w:val="0"/>
              <w:numPr>
                <w:ilvl w:val="0"/>
                <w:numId w:val="3"/>
              </w:numPr>
              <w:spacing w:before="120" w:after="120" w:line="240" w:lineRule="auto"/>
              <w:rPr>
                <w:rFonts w:asciiTheme="majorHAnsi" w:hAnsiTheme="majorHAnsi" w:cs="Tahoma"/>
                <w:color w:val="000000"/>
                <w:shd w:val="clear" w:color="auto" w:fill="FFFFFF"/>
              </w:rPr>
            </w:pPr>
            <w:hyperlink r:id="rId9" w:history="1">
              <w:r w:rsidR="00DF3032" w:rsidRPr="00DF3032">
                <w:rPr>
                  <w:rStyle w:val="Hyperlink"/>
                  <w:rFonts w:asciiTheme="majorHAnsi" w:hAnsiTheme="majorHAnsi"/>
                </w:rPr>
                <w:t>Working Alone</w:t>
              </w:r>
            </w:hyperlink>
            <w:r w:rsidR="00DF3032" w:rsidRPr="00DF3032">
              <w:rPr>
                <w:rFonts w:asciiTheme="majorHAnsi" w:hAnsiTheme="majorHAnsi"/>
              </w:rPr>
              <w:t xml:space="preserve"> is not permitted when using chemicals or processes described in this LSOP</w:t>
            </w:r>
          </w:p>
        </w:tc>
      </w:tr>
      <w:tr w:rsidR="00777CCD" w14:paraId="4D6C2050" w14:textId="77777777" w:rsidTr="00C9204E">
        <w:trPr>
          <w:trHeight w:val="420"/>
          <w:jc w:val="center"/>
        </w:trPr>
        <w:tc>
          <w:tcPr>
            <w:tcW w:w="10800" w:type="dxa"/>
            <w:gridSpan w:val="2"/>
            <w:tcBorders>
              <w:bottom w:val="single" w:sz="4" w:space="0" w:color="000000"/>
            </w:tcBorders>
            <w:shd w:val="clear" w:color="auto" w:fill="000E2F"/>
            <w:vAlign w:val="center"/>
          </w:tcPr>
          <w:p w14:paraId="218A3050" w14:textId="77777777" w:rsidR="00777CCD" w:rsidRDefault="00DF3032" w:rsidP="00C9204E">
            <w:pPr>
              <w:pStyle w:val="Heading1"/>
              <w:keepNext w:val="0"/>
              <w:keepLines w:val="0"/>
              <w:spacing w:before="80" w:after="80" w:line="240" w:lineRule="auto"/>
              <w:rPr>
                <w:b/>
                <w:sz w:val="24"/>
                <w:szCs w:val="24"/>
              </w:rPr>
            </w:pPr>
            <w:r>
              <w:rPr>
                <w:b/>
                <w:color w:val="FFFFFF"/>
                <w:sz w:val="24"/>
                <w:szCs w:val="24"/>
              </w:rPr>
              <w:t>SECTION 3- ENGINEERING CONTROLS</w:t>
            </w:r>
          </w:p>
        </w:tc>
      </w:tr>
      <w:tr w:rsidR="00C9204E" w14:paraId="2492ED66" w14:textId="77777777" w:rsidTr="00C9204E">
        <w:trPr>
          <w:trHeight w:val="420"/>
          <w:jc w:val="center"/>
        </w:trPr>
        <w:tc>
          <w:tcPr>
            <w:tcW w:w="10800" w:type="dxa"/>
            <w:gridSpan w:val="2"/>
            <w:shd w:val="clear" w:color="auto" w:fill="auto"/>
            <w:vAlign w:val="center"/>
          </w:tcPr>
          <w:p w14:paraId="4C30EB2C" w14:textId="77777777" w:rsidR="00C9204E" w:rsidRPr="00C9204E" w:rsidRDefault="00C9204E" w:rsidP="00C9204E">
            <w:pPr>
              <w:pStyle w:val="Heading1"/>
              <w:keepNext w:val="0"/>
              <w:keepLines w:val="0"/>
              <w:numPr>
                <w:ilvl w:val="0"/>
                <w:numId w:val="5"/>
              </w:numPr>
              <w:spacing w:before="40" w:after="40" w:line="240" w:lineRule="auto"/>
              <w:rPr>
                <w:color w:val="000000" w:themeColor="text1"/>
                <w:sz w:val="22"/>
                <w:szCs w:val="22"/>
              </w:rPr>
            </w:pPr>
            <w:r w:rsidRPr="00C9204E">
              <w:rPr>
                <w:color w:val="000000" w:themeColor="text1"/>
                <w:sz w:val="22"/>
                <w:szCs w:val="22"/>
              </w:rPr>
              <w:t>Place rotary evaporator on even surface with facile access to power and vacuum</w:t>
            </w:r>
          </w:p>
          <w:p w14:paraId="0BBAE3DC" w14:textId="77777777" w:rsidR="00C9204E" w:rsidRPr="00C9204E" w:rsidRDefault="00C9204E" w:rsidP="00C9204E">
            <w:pPr>
              <w:pStyle w:val="Heading1"/>
              <w:keepNext w:val="0"/>
              <w:keepLines w:val="0"/>
              <w:numPr>
                <w:ilvl w:val="0"/>
                <w:numId w:val="5"/>
              </w:numPr>
              <w:spacing w:before="40" w:after="40" w:line="240" w:lineRule="auto"/>
              <w:rPr>
                <w:color w:val="000000" w:themeColor="text1"/>
                <w:sz w:val="22"/>
                <w:szCs w:val="22"/>
              </w:rPr>
            </w:pPr>
            <w:r w:rsidRPr="00C9204E">
              <w:rPr>
                <w:color w:val="000000" w:themeColor="text1"/>
                <w:sz w:val="22"/>
                <w:szCs w:val="22"/>
              </w:rPr>
              <w:t>The exhaust of the vacuum pump should be venting into an exhaust system</w:t>
            </w:r>
          </w:p>
          <w:p w14:paraId="3591F76E" w14:textId="77777777" w:rsidR="00C9204E" w:rsidRDefault="00C9204E" w:rsidP="00C9204E">
            <w:pPr>
              <w:pStyle w:val="Heading1"/>
              <w:keepNext w:val="0"/>
              <w:keepLines w:val="0"/>
              <w:numPr>
                <w:ilvl w:val="0"/>
                <w:numId w:val="5"/>
              </w:numPr>
              <w:spacing w:before="40" w:after="40" w:line="240" w:lineRule="auto"/>
              <w:rPr>
                <w:color w:val="000000" w:themeColor="text1"/>
                <w:sz w:val="22"/>
                <w:szCs w:val="22"/>
              </w:rPr>
            </w:pPr>
            <w:r w:rsidRPr="00C9204E">
              <w:rPr>
                <w:color w:val="000000" w:themeColor="text1"/>
                <w:sz w:val="22"/>
                <w:szCs w:val="22"/>
              </w:rPr>
              <w:t>Place rotary evaporator in fume hood when particularly odorous or toxic compounds are being handled</w:t>
            </w:r>
          </w:p>
          <w:p w14:paraId="304D67C6" w14:textId="3BCE0111" w:rsidR="00C9204E" w:rsidRPr="00C9204E" w:rsidRDefault="00C9204E" w:rsidP="00C9204E">
            <w:pPr>
              <w:pStyle w:val="Heading1"/>
              <w:keepNext w:val="0"/>
              <w:keepLines w:val="0"/>
              <w:numPr>
                <w:ilvl w:val="0"/>
                <w:numId w:val="5"/>
              </w:numPr>
              <w:spacing w:before="40" w:after="40" w:line="240" w:lineRule="auto"/>
              <w:rPr>
                <w:color w:val="000000" w:themeColor="text1"/>
                <w:sz w:val="22"/>
                <w:szCs w:val="22"/>
              </w:rPr>
            </w:pPr>
            <w:r w:rsidRPr="00C9204E">
              <w:rPr>
                <w:color w:val="000000" w:themeColor="text1"/>
                <w:sz w:val="22"/>
                <w:szCs w:val="22"/>
              </w:rPr>
              <w:t>Make sure the electrical cords are in excellent condition</w:t>
            </w:r>
          </w:p>
        </w:tc>
      </w:tr>
    </w:tbl>
    <w:p w14:paraId="1437144B" w14:textId="77777777" w:rsidR="00C9204E" w:rsidRDefault="00C9204E" w:rsidP="00C9204E">
      <w:pPr>
        <w:pStyle w:val="Heading1"/>
        <w:keepNext w:val="0"/>
        <w:keepLines w:val="0"/>
        <w:spacing w:before="80" w:after="80" w:line="240" w:lineRule="auto"/>
        <w:rPr>
          <w:b/>
          <w:color w:val="FFFFFF"/>
          <w:sz w:val="24"/>
          <w:szCs w:val="24"/>
        </w:rPr>
        <w:sectPr w:rsidR="00C9204E">
          <w:headerReference w:type="default" r:id="rId10"/>
          <w:footerReference w:type="default" r:id="rId11"/>
          <w:headerReference w:type="first" r:id="rId12"/>
          <w:footerReference w:type="first" r:id="rId13"/>
          <w:pgSz w:w="12240" w:h="15840"/>
          <w:pgMar w:top="1071" w:right="1440" w:bottom="1035" w:left="1440" w:header="288" w:footer="495" w:gutter="0"/>
          <w:pgNumType w:start="1"/>
          <w:cols w:space="720"/>
          <w:titlePg/>
        </w:sect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777CCD" w14:paraId="0FAA67F6" w14:textId="77777777" w:rsidTr="00C9204E">
        <w:trPr>
          <w:trHeight w:val="420"/>
          <w:jc w:val="center"/>
        </w:trPr>
        <w:tc>
          <w:tcPr>
            <w:tcW w:w="10800" w:type="dxa"/>
            <w:tcBorders>
              <w:bottom w:val="single" w:sz="4" w:space="0" w:color="000000"/>
            </w:tcBorders>
            <w:shd w:val="clear" w:color="auto" w:fill="000E2F"/>
            <w:vAlign w:val="center"/>
          </w:tcPr>
          <w:p w14:paraId="04461543" w14:textId="6D27355D" w:rsidR="00777CCD" w:rsidRDefault="00DF3032" w:rsidP="00C9204E">
            <w:pPr>
              <w:pStyle w:val="Heading1"/>
              <w:keepNext w:val="0"/>
              <w:keepLines w:val="0"/>
              <w:spacing w:before="80" w:after="80" w:line="240" w:lineRule="auto"/>
              <w:rPr>
                <w:b/>
                <w:sz w:val="24"/>
                <w:szCs w:val="24"/>
              </w:rPr>
            </w:pPr>
            <w:bookmarkStart w:id="0" w:name="_GoBack"/>
            <w:bookmarkEnd w:id="0"/>
            <w:r>
              <w:rPr>
                <w:b/>
                <w:color w:val="FFFFFF"/>
                <w:sz w:val="24"/>
                <w:szCs w:val="24"/>
              </w:rPr>
              <w:lastRenderedPageBreak/>
              <w:t>SECTION 4 – WORK PRACTICES</w:t>
            </w:r>
          </w:p>
        </w:tc>
      </w:tr>
      <w:tr w:rsidR="00F330C3" w:rsidRPr="00F330C3" w14:paraId="07EFD9E4" w14:textId="77777777" w:rsidTr="00C9204E">
        <w:trPr>
          <w:trHeight w:val="4787"/>
          <w:jc w:val="center"/>
        </w:trPr>
        <w:tc>
          <w:tcPr>
            <w:tcW w:w="10800" w:type="dxa"/>
            <w:shd w:val="clear" w:color="auto" w:fill="auto"/>
            <w:vAlign w:val="center"/>
          </w:tcPr>
          <w:p w14:paraId="1762F9D3" w14:textId="77777777" w:rsidR="00C6095D" w:rsidRDefault="00C6095D" w:rsidP="00C9204E">
            <w:pPr>
              <w:pStyle w:val="Normal1"/>
              <w:numPr>
                <w:ilvl w:val="0"/>
                <w:numId w:val="3"/>
              </w:numPr>
              <w:spacing w:after="0" w:line="240" w:lineRule="auto"/>
            </w:pPr>
            <w:r w:rsidRPr="00C6095D">
              <w:t>The rotary evaporator has parts that rota</w:t>
            </w:r>
            <w:r>
              <w:t>te rapidly and poses a risk of entanglement</w:t>
            </w:r>
            <w:r w:rsidRPr="00C6095D">
              <w:t xml:space="preserve"> – all hair, and</w:t>
            </w:r>
            <w:r>
              <w:t xml:space="preserve"> </w:t>
            </w:r>
            <w:r w:rsidRPr="00C6095D">
              <w:t>other l</w:t>
            </w:r>
            <w:r>
              <w:t>oose items of clothing or jewel</w:t>
            </w:r>
            <w:r w:rsidRPr="00C6095D">
              <w:t>ry should be secured/out of the way before commencing.</w:t>
            </w:r>
          </w:p>
          <w:p w14:paraId="4B16C2A2" w14:textId="77777777" w:rsidR="00F330C3" w:rsidRPr="00F330C3" w:rsidRDefault="00F330C3" w:rsidP="00C9204E">
            <w:pPr>
              <w:pStyle w:val="Normal1"/>
              <w:numPr>
                <w:ilvl w:val="0"/>
                <w:numId w:val="3"/>
              </w:numPr>
              <w:spacing w:after="0" w:line="240" w:lineRule="auto"/>
            </w:pPr>
            <w:r w:rsidRPr="00F330C3">
              <w:t>A bump trap should be used with all evaporations</w:t>
            </w:r>
          </w:p>
          <w:p w14:paraId="4335966B" w14:textId="77777777" w:rsidR="00F330C3" w:rsidRPr="00F330C3" w:rsidRDefault="00F330C3" w:rsidP="00C9204E">
            <w:pPr>
              <w:pStyle w:val="Normal1"/>
              <w:numPr>
                <w:ilvl w:val="0"/>
                <w:numId w:val="3"/>
              </w:numPr>
              <w:spacing w:after="0" w:line="240" w:lineRule="auto"/>
            </w:pPr>
            <w:r w:rsidRPr="00F330C3">
              <w:t>In general, use the highest vacuum and lowest temperature possible</w:t>
            </w:r>
          </w:p>
          <w:p w14:paraId="79D87157" w14:textId="77777777" w:rsidR="00F330C3" w:rsidRPr="00F330C3" w:rsidRDefault="00F330C3" w:rsidP="00C9204E">
            <w:pPr>
              <w:pStyle w:val="Normal1"/>
              <w:numPr>
                <w:ilvl w:val="0"/>
                <w:numId w:val="3"/>
              </w:numPr>
              <w:spacing w:after="0" w:line="240" w:lineRule="auto"/>
            </w:pPr>
            <w:r w:rsidRPr="00F330C3">
              <w:t>Bump traps and round bottom flasks should be securely attached to apparatus  - use of properly sized Keck clamps is recommended</w:t>
            </w:r>
          </w:p>
          <w:p w14:paraId="7F811B13" w14:textId="77777777" w:rsidR="00F330C3" w:rsidRPr="00F330C3" w:rsidRDefault="00F330C3" w:rsidP="00C9204E">
            <w:pPr>
              <w:pStyle w:val="Normal1"/>
              <w:numPr>
                <w:ilvl w:val="0"/>
                <w:numId w:val="3"/>
              </w:numPr>
              <w:spacing w:after="0" w:line="240" w:lineRule="auto"/>
            </w:pPr>
            <w:r w:rsidRPr="00F330C3">
              <w:t>Keep the dry ice trap filled with dry ice and acetone</w:t>
            </w:r>
          </w:p>
          <w:p w14:paraId="16F8AD81" w14:textId="77777777" w:rsidR="00F330C3" w:rsidRPr="00F330C3" w:rsidRDefault="00F330C3" w:rsidP="00C9204E">
            <w:pPr>
              <w:pStyle w:val="Normal1"/>
              <w:numPr>
                <w:ilvl w:val="0"/>
                <w:numId w:val="3"/>
              </w:numPr>
              <w:spacing w:after="0" w:line="240" w:lineRule="auto"/>
            </w:pPr>
            <w:r w:rsidRPr="00F330C3">
              <w:t>Vacuum should be reduced/released immediately following a “bump”</w:t>
            </w:r>
          </w:p>
          <w:p w14:paraId="5D24DC3E" w14:textId="77777777" w:rsidR="00F330C3" w:rsidRPr="00F330C3" w:rsidRDefault="00F330C3" w:rsidP="00C9204E">
            <w:pPr>
              <w:pStyle w:val="Normal1"/>
              <w:numPr>
                <w:ilvl w:val="0"/>
                <w:numId w:val="3"/>
              </w:numPr>
              <w:spacing w:after="0" w:line="240" w:lineRule="auto"/>
              <w:contextualSpacing/>
            </w:pPr>
            <w:r w:rsidRPr="00F330C3">
              <w:t>The volume of solvent should not exceed half the volume of the flask or vial it is contained in</w:t>
            </w:r>
          </w:p>
          <w:p w14:paraId="6A222112" w14:textId="77777777" w:rsidR="00F330C3" w:rsidRPr="00F330C3" w:rsidRDefault="00F330C3" w:rsidP="00C9204E">
            <w:pPr>
              <w:pStyle w:val="Normal1"/>
              <w:numPr>
                <w:ilvl w:val="0"/>
                <w:numId w:val="3"/>
              </w:numPr>
              <w:spacing w:after="0" w:line="240" w:lineRule="auto"/>
              <w:contextualSpacing/>
            </w:pPr>
            <w:r w:rsidRPr="00F330C3">
              <w:t>Bump traps should be cleaned prior to use</w:t>
            </w:r>
          </w:p>
          <w:p w14:paraId="3A5B949E" w14:textId="77777777" w:rsidR="00F330C3" w:rsidRPr="00F330C3" w:rsidRDefault="00F330C3" w:rsidP="00C9204E">
            <w:pPr>
              <w:pStyle w:val="Normal1"/>
              <w:numPr>
                <w:ilvl w:val="0"/>
                <w:numId w:val="3"/>
              </w:numPr>
              <w:spacing w:after="0" w:line="240" w:lineRule="auto"/>
              <w:contextualSpacing/>
            </w:pPr>
            <w:r w:rsidRPr="00F330C3">
              <w:t>Use only distilled water to fill the heating bath and do not overfill the bath</w:t>
            </w:r>
          </w:p>
          <w:p w14:paraId="66614C82" w14:textId="77777777" w:rsidR="00F330C3" w:rsidRPr="00F330C3" w:rsidRDefault="00F330C3" w:rsidP="00C9204E">
            <w:pPr>
              <w:pStyle w:val="Normal1"/>
              <w:numPr>
                <w:ilvl w:val="0"/>
                <w:numId w:val="3"/>
              </w:numPr>
              <w:spacing w:after="0" w:line="240" w:lineRule="auto"/>
              <w:contextualSpacing/>
            </w:pPr>
            <w:r w:rsidRPr="00F330C3">
              <w:t xml:space="preserve">Raise the jack of the </w:t>
            </w:r>
            <w:proofErr w:type="spellStart"/>
            <w:r w:rsidRPr="00F330C3">
              <w:t>rotavap</w:t>
            </w:r>
            <w:proofErr w:type="spellEnd"/>
            <w:r w:rsidRPr="00F330C3">
              <w:t xml:space="preserve"> as high as possible when inserting or removing a sample</w:t>
            </w:r>
          </w:p>
          <w:p w14:paraId="3DC112A2" w14:textId="77777777" w:rsidR="00F330C3" w:rsidRPr="00F330C3" w:rsidRDefault="00F330C3" w:rsidP="00C9204E">
            <w:pPr>
              <w:pStyle w:val="Normal1"/>
              <w:numPr>
                <w:ilvl w:val="0"/>
                <w:numId w:val="3"/>
              </w:numPr>
              <w:spacing w:after="0" w:line="240" w:lineRule="auto"/>
              <w:contextualSpacing/>
            </w:pPr>
            <w:r w:rsidRPr="00F330C3">
              <w:t>Clean bump trap, empty collecting flask, and close the vacuum value after use</w:t>
            </w:r>
          </w:p>
          <w:p w14:paraId="32F4B0E9" w14:textId="77777777" w:rsidR="00F330C3" w:rsidRPr="00F330C3" w:rsidRDefault="00F330C3" w:rsidP="00C9204E">
            <w:pPr>
              <w:pStyle w:val="Normal1"/>
              <w:numPr>
                <w:ilvl w:val="0"/>
                <w:numId w:val="3"/>
              </w:numPr>
              <w:spacing w:after="0" w:line="240" w:lineRule="auto"/>
              <w:contextualSpacing/>
            </w:pPr>
            <w:r w:rsidRPr="00F330C3">
              <w:t>Make sure to not heat the bath for extended periods when the machine is not in use</w:t>
            </w:r>
          </w:p>
          <w:p w14:paraId="7033AF3C" w14:textId="77777777" w:rsidR="00F330C3" w:rsidRPr="00F330C3" w:rsidRDefault="00F330C3" w:rsidP="00C9204E">
            <w:pPr>
              <w:pStyle w:val="Normal1"/>
              <w:numPr>
                <w:ilvl w:val="0"/>
                <w:numId w:val="3"/>
              </w:numPr>
              <w:spacing w:after="0" w:line="240" w:lineRule="auto"/>
              <w:contextualSpacing/>
              <w:rPr>
                <w:rFonts w:asciiTheme="majorHAnsi" w:hAnsiTheme="majorHAnsi"/>
                <w:color w:val="auto"/>
              </w:rPr>
            </w:pPr>
            <w:r w:rsidRPr="00F330C3">
              <w:t>Make sure the instrument is switched off at the end of the day</w:t>
            </w:r>
          </w:p>
          <w:p w14:paraId="09D693C6" w14:textId="77777777" w:rsidR="00F330C3" w:rsidRPr="00F330C3" w:rsidRDefault="00F330C3" w:rsidP="00C9204E">
            <w:pPr>
              <w:pStyle w:val="Normal1"/>
              <w:numPr>
                <w:ilvl w:val="0"/>
                <w:numId w:val="3"/>
              </w:numPr>
              <w:spacing w:after="0" w:line="240" w:lineRule="auto"/>
              <w:contextualSpacing/>
              <w:rPr>
                <w:rFonts w:asciiTheme="majorHAnsi" w:hAnsiTheme="majorHAnsi"/>
                <w:color w:val="auto"/>
              </w:rPr>
            </w:pPr>
            <w:r w:rsidRPr="00F330C3">
              <w:t>Become familiar with the maintenance of the rotary evaporator</w:t>
            </w:r>
          </w:p>
        </w:tc>
      </w:tr>
      <w:tr w:rsidR="00777CCD" w14:paraId="25ADA81B" w14:textId="77777777" w:rsidTr="00C9204E">
        <w:trPr>
          <w:trHeight w:val="420"/>
          <w:jc w:val="center"/>
        </w:trPr>
        <w:tc>
          <w:tcPr>
            <w:tcW w:w="10800" w:type="dxa"/>
            <w:shd w:val="clear" w:color="auto" w:fill="000E2F"/>
            <w:vAlign w:val="center"/>
          </w:tcPr>
          <w:p w14:paraId="1786B3D5" w14:textId="77777777" w:rsidR="00777CCD" w:rsidRDefault="00DF3032" w:rsidP="00C9204E">
            <w:pPr>
              <w:pStyle w:val="Heading1"/>
              <w:keepNext w:val="0"/>
              <w:keepLines w:val="0"/>
              <w:spacing w:before="80" w:after="80" w:line="240" w:lineRule="auto"/>
              <w:rPr>
                <w:b/>
                <w:sz w:val="24"/>
                <w:szCs w:val="24"/>
              </w:rPr>
            </w:pPr>
            <w:r>
              <w:rPr>
                <w:b/>
                <w:color w:val="FFFFFF"/>
                <w:sz w:val="24"/>
                <w:szCs w:val="24"/>
              </w:rPr>
              <w:t>SECTION 5 – PERSONAL PROTECTIVE EQUIPMENT (PPE)</w:t>
            </w:r>
          </w:p>
        </w:tc>
      </w:tr>
      <w:tr w:rsidR="00777CCD" w14:paraId="1043DD8C" w14:textId="77777777" w:rsidTr="00C9204E">
        <w:trPr>
          <w:trHeight w:val="420"/>
          <w:jc w:val="center"/>
        </w:trPr>
        <w:tc>
          <w:tcPr>
            <w:tcW w:w="10800" w:type="dxa"/>
            <w:shd w:val="clear" w:color="auto" w:fill="FFFFFF"/>
            <w:vAlign w:val="center"/>
          </w:tcPr>
          <w:p w14:paraId="1216D05B" w14:textId="77777777" w:rsidR="00777CCD" w:rsidRDefault="00DF3032" w:rsidP="00C9204E">
            <w:pPr>
              <w:pStyle w:val="Normal1"/>
              <w:widowControl w:val="0"/>
              <w:numPr>
                <w:ilvl w:val="0"/>
                <w:numId w:val="9"/>
              </w:numPr>
              <w:spacing w:before="80" w:after="80" w:line="240" w:lineRule="auto"/>
              <w:contextualSpacing/>
            </w:pPr>
            <w:r>
              <w:t>At a minimum, a lab coat, gloves, long pants, closed-toed footwear, and chemical safety glasses that meet ANSI standard Z-87.1 must be worn.</w:t>
            </w:r>
          </w:p>
        </w:tc>
      </w:tr>
      <w:tr w:rsidR="00777CCD" w14:paraId="388D1090" w14:textId="77777777" w:rsidTr="00C9204E">
        <w:trPr>
          <w:trHeight w:val="420"/>
          <w:jc w:val="center"/>
        </w:trPr>
        <w:tc>
          <w:tcPr>
            <w:tcW w:w="10800" w:type="dxa"/>
            <w:shd w:val="clear" w:color="auto" w:fill="000E2F"/>
            <w:vAlign w:val="center"/>
          </w:tcPr>
          <w:p w14:paraId="1696F6F7" w14:textId="77777777" w:rsidR="00777CCD" w:rsidRDefault="00DF3032" w:rsidP="00C9204E">
            <w:pPr>
              <w:pStyle w:val="Heading1"/>
              <w:keepNext w:val="0"/>
              <w:keepLines w:val="0"/>
              <w:spacing w:before="80" w:after="80" w:line="240" w:lineRule="auto"/>
              <w:rPr>
                <w:b/>
                <w:sz w:val="24"/>
                <w:szCs w:val="24"/>
              </w:rPr>
            </w:pPr>
            <w:r>
              <w:rPr>
                <w:b/>
                <w:color w:val="FFFFFF"/>
                <w:sz w:val="24"/>
                <w:szCs w:val="24"/>
              </w:rPr>
              <w:t>SECTION 6 – STORAGE</w:t>
            </w:r>
          </w:p>
        </w:tc>
      </w:tr>
      <w:tr w:rsidR="00777CCD" w14:paraId="0BBFAF45" w14:textId="77777777" w:rsidTr="00C9204E">
        <w:trPr>
          <w:trHeight w:val="420"/>
          <w:jc w:val="center"/>
        </w:trPr>
        <w:tc>
          <w:tcPr>
            <w:tcW w:w="10800" w:type="dxa"/>
            <w:shd w:val="clear" w:color="auto" w:fill="FFFFFF"/>
            <w:vAlign w:val="center"/>
          </w:tcPr>
          <w:p w14:paraId="16C12BF2" w14:textId="77777777" w:rsidR="00777CCD" w:rsidRDefault="00DF3032" w:rsidP="00C9204E">
            <w:pPr>
              <w:pStyle w:val="Normal1"/>
              <w:widowControl w:val="0"/>
              <w:numPr>
                <w:ilvl w:val="0"/>
                <w:numId w:val="1"/>
              </w:numPr>
              <w:spacing w:before="80" w:after="80" w:line="240" w:lineRule="auto"/>
              <w:contextualSpacing/>
            </w:pPr>
            <w:r>
              <w:t xml:space="preserve">When not in use: heating bath should be turned off, there should be no vacuum, and the </w:t>
            </w:r>
            <w:r w:rsidR="007D4F02">
              <w:t xml:space="preserve">slash trap and </w:t>
            </w:r>
            <w:r>
              <w:t>collecting flask should be empt</w:t>
            </w:r>
            <w:r w:rsidR="007D4F02">
              <w:t>y</w:t>
            </w:r>
            <w:r>
              <w:t>.</w:t>
            </w:r>
          </w:p>
        </w:tc>
      </w:tr>
      <w:tr w:rsidR="00777CCD" w14:paraId="2D36C917" w14:textId="77777777" w:rsidTr="00C9204E">
        <w:trPr>
          <w:trHeight w:val="420"/>
          <w:jc w:val="center"/>
        </w:trPr>
        <w:tc>
          <w:tcPr>
            <w:tcW w:w="10800" w:type="dxa"/>
            <w:shd w:val="clear" w:color="auto" w:fill="000E2F"/>
            <w:vAlign w:val="center"/>
          </w:tcPr>
          <w:p w14:paraId="53B3A110" w14:textId="77777777" w:rsidR="00777CCD" w:rsidRDefault="00DF3032" w:rsidP="00F330C3">
            <w:pPr>
              <w:pStyle w:val="Heading1"/>
              <w:keepNext w:val="0"/>
              <w:keepLines w:val="0"/>
              <w:spacing w:before="80" w:after="80" w:line="240" w:lineRule="auto"/>
              <w:rPr>
                <w:b/>
                <w:sz w:val="24"/>
                <w:szCs w:val="24"/>
              </w:rPr>
            </w:pPr>
            <w:r>
              <w:rPr>
                <w:b/>
                <w:color w:val="FFFFFF"/>
                <w:sz w:val="24"/>
                <w:szCs w:val="24"/>
              </w:rPr>
              <w:t>SECTION 7 – SPILL AND ACCIDENT PROCEDURES</w:t>
            </w:r>
          </w:p>
        </w:tc>
      </w:tr>
      <w:tr w:rsidR="00777CCD" w14:paraId="20989B2E" w14:textId="77777777" w:rsidTr="00C9204E">
        <w:trPr>
          <w:trHeight w:val="420"/>
          <w:jc w:val="center"/>
        </w:trPr>
        <w:tc>
          <w:tcPr>
            <w:tcW w:w="10800" w:type="dxa"/>
            <w:shd w:val="clear" w:color="auto" w:fill="FFFFFF"/>
            <w:vAlign w:val="center"/>
          </w:tcPr>
          <w:p w14:paraId="29CD4EE0" w14:textId="77777777" w:rsidR="00777CCD" w:rsidRPr="007D4F02" w:rsidRDefault="00DF3032" w:rsidP="00C9204E">
            <w:pPr>
              <w:pStyle w:val="Normal1"/>
              <w:widowControl w:val="0"/>
              <w:numPr>
                <w:ilvl w:val="0"/>
                <w:numId w:val="10"/>
              </w:numPr>
              <w:spacing w:before="40" w:after="40" w:line="240" w:lineRule="auto"/>
              <w:contextualSpacing/>
              <w:rPr>
                <w:rFonts w:asciiTheme="majorHAnsi" w:hAnsiTheme="majorHAnsi"/>
              </w:rPr>
            </w:pPr>
            <w:r w:rsidRPr="007D4F02">
              <w:rPr>
                <w:rFonts w:asciiTheme="majorHAnsi" w:hAnsiTheme="majorHAnsi"/>
              </w:rPr>
              <w:t>Any solvent spill should be handled in the manner outlined in that chemicals safety data sheet or chemical hygiene plan.</w:t>
            </w:r>
          </w:p>
          <w:p w14:paraId="4457A0D8" w14:textId="77777777" w:rsidR="00777CCD" w:rsidRPr="007D4F02" w:rsidRDefault="005402B0" w:rsidP="00C9204E">
            <w:pPr>
              <w:pStyle w:val="Normal1"/>
              <w:widowControl w:val="0"/>
              <w:numPr>
                <w:ilvl w:val="0"/>
                <w:numId w:val="10"/>
              </w:numPr>
              <w:spacing w:before="40" w:after="40" w:line="240" w:lineRule="auto"/>
              <w:contextualSpacing/>
              <w:rPr>
                <w:rFonts w:asciiTheme="majorHAnsi" w:hAnsiTheme="majorHAnsi"/>
              </w:rPr>
            </w:pPr>
            <w:r>
              <w:t>Leave the room when spilling larger quantities of solvent</w:t>
            </w:r>
          </w:p>
          <w:p w14:paraId="70C26485" w14:textId="77777777" w:rsidR="007D4F02" w:rsidRPr="000A4B09" w:rsidRDefault="007D4F02" w:rsidP="00C9204E">
            <w:pPr>
              <w:pStyle w:val="ListParagraph"/>
              <w:numPr>
                <w:ilvl w:val="0"/>
                <w:numId w:val="10"/>
              </w:numPr>
              <w:shd w:val="clear" w:color="auto" w:fill="FFFFFF"/>
              <w:spacing w:before="40" w:after="40" w:line="240" w:lineRule="auto"/>
              <w:outlineLvl w:val="1"/>
              <w:rPr>
                <w:rFonts w:asciiTheme="majorHAnsi" w:hAnsiTheme="majorHAnsi" w:cs="Aparajita"/>
                <w:bCs/>
                <w:color w:val="000000"/>
                <w:shd w:val="clear" w:color="auto" w:fill="FFFFFF"/>
              </w:rPr>
            </w:pPr>
            <w:r w:rsidRPr="007D4F02">
              <w:rPr>
                <w:rFonts w:asciiTheme="majorHAnsi" w:hAnsiTheme="majorHAnsi" w:cs="Aparajita"/>
                <w:color w:val="000000"/>
                <w:shd w:val="clear" w:color="auto" w:fill="FFFFFF"/>
              </w:rPr>
              <w:t xml:space="preserve">Activate the fire alarm and call </w:t>
            </w:r>
            <w:r w:rsidRPr="007D4F02">
              <w:rPr>
                <w:rFonts w:asciiTheme="majorHAnsi" w:hAnsiTheme="majorHAnsi" w:cs="Aparajita"/>
                <w:b/>
                <w:bCs/>
                <w:shd w:val="clear" w:color="auto" w:fill="FFFFFF"/>
              </w:rPr>
              <w:t>911</w:t>
            </w:r>
            <w:r w:rsidRPr="007D4F02">
              <w:rPr>
                <w:rFonts w:asciiTheme="majorHAnsi" w:hAnsiTheme="majorHAnsi" w:cs="Aparajita"/>
                <w:bCs/>
                <w:shd w:val="clear" w:color="auto" w:fill="FFFFFF"/>
              </w:rPr>
              <w:t xml:space="preserve"> in case of a </w:t>
            </w:r>
            <w:r w:rsidR="005402B0">
              <w:rPr>
                <w:rFonts w:asciiTheme="majorHAnsi" w:hAnsiTheme="majorHAnsi" w:cs="Aparajita"/>
                <w:bCs/>
                <w:shd w:val="clear" w:color="auto" w:fill="FFFFFF"/>
              </w:rPr>
              <w:t xml:space="preserve">very </w:t>
            </w:r>
            <w:r w:rsidRPr="007D4F02">
              <w:rPr>
                <w:rFonts w:asciiTheme="majorHAnsi" w:hAnsiTheme="majorHAnsi" w:cs="Aparajita"/>
                <w:bCs/>
                <w:shd w:val="clear" w:color="auto" w:fill="FFFFFF"/>
              </w:rPr>
              <w:t>large (&gt;</w:t>
            </w:r>
            <w:r>
              <w:rPr>
                <w:rFonts w:asciiTheme="majorHAnsi" w:hAnsiTheme="majorHAnsi" w:cs="Aparajita"/>
                <w:bCs/>
                <w:shd w:val="clear" w:color="auto" w:fill="FFFFFF"/>
              </w:rPr>
              <w:t>20</w:t>
            </w:r>
            <w:r w:rsidRPr="007D4F02">
              <w:rPr>
                <w:rFonts w:asciiTheme="majorHAnsi" w:hAnsiTheme="majorHAnsi" w:cs="Aparajita"/>
                <w:bCs/>
                <w:shd w:val="clear" w:color="auto" w:fill="FFFFFF"/>
              </w:rPr>
              <w:t xml:space="preserve">00 </w:t>
            </w:r>
            <w:r>
              <w:rPr>
                <w:rFonts w:asciiTheme="majorHAnsi" w:hAnsiTheme="majorHAnsi" w:cs="Aparajita"/>
                <w:bCs/>
                <w:shd w:val="clear" w:color="auto" w:fill="FFFFFF"/>
              </w:rPr>
              <w:t>mL</w:t>
            </w:r>
            <w:r w:rsidRPr="007D4F02">
              <w:rPr>
                <w:rFonts w:asciiTheme="majorHAnsi" w:hAnsiTheme="majorHAnsi" w:cs="Aparajita"/>
                <w:bCs/>
                <w:shd w:val="clear" w:color="auto" w:fill="FFFFFF"/>
              </w:rPr>
              <w:t>) spill outside the fume hood</w:t>
            </w:r>
          </w:p>
          <w:p w14:paraId="69F93E8E" w14:textId="591D9FDA" w:rsidR="000A4B09" w:rsidRPr="000A4B09" w:rsidRDefault="000A4B09" w:rsidP="00C9204E">
            <w:pPr>
              <w:widowControl w:val="0"/>
              <w:numPr>
                <w:ilvl w:val="0"/>
                <w:numId w:val="10"/>
              </w:numPr>
              <w:spacing w:before="40" w:after="40" w:line="240" w:lineRule="auto"/>
              <w:contextualSpacing/>
            </w:pPr>
            <w:r>
              <w:t>Turn off all sources of ignition – push the red emergency shut-off button near the exit.</w:t>
            </w:r>
          </w:p>
          <w:p w14:paraId="6C972B4A" w14:textId="77777777" w:rsidR="007D4F02" w:rsidRPr="007D4F02" w:rsidRDefault="007D4F02" w:rsidP="00C9204E">
            <w:pPr>
              <w:pStyle w:val="ListParagraph"/>
              <w:numPr>
                <w:ilvl w:val="0"/>
                <w:numId w:val="10"/>
              </w:numPr>
              <w:shd w:val="clear" w:color="auto" w:fill="FFFFFF"/>
              <w:spacing w:before="40" w:after="40" w:line="240" w:lineRule="auto"/>
              <w:outlineLvl w:val="1"/>
              <w:rPr>
                <w:rFonts w:asciiTheme="majorHAnsi" w:hAnsiTheme="majorHAnsi" w:cs="Aparajita"/>
                <w:bCs/>
                <w:color w:val="000000"/>
                <w:shd w:val="clear" w:color="auto" w:fill="FFFFFF"/>
              </w:rPr>
            </w:pPr>
            <w:r w:rsidRPr="007D4F02">
              <w:rPr>
                <w:rFonts w:asciiTheme="majorHAnsi" w:hAnsiTheme="majorHAnsi" w:cs="Aparajita"/>
                <w:color w:val="000000"/>
                <w:shd w:val="clear" w:color="auto" w:fill="FFFFFF"/>
              </w:rPr>
              <w:t>Do not re-enter area until instructed to do so by an emergency personnel</w:t>
            </w:r>
            <w:r w:rsidRPr="007D4F02">
              <w:rPr>
                <w:rFonts w:asciiTheme="majorHAnsi" w:eastAsia="Times New Roman" w:hAnsiTheme="majorHAnsi" w:cs="Aparajita"/>
                <w:snapToGrid w:val="0"/>
              </w:rPr>
              <w:t xml:space="preserve"> </w:t>
            </w:r>
          </w:p>
          <w:p w14:paraId="7E64A227" w14:textId="77777777" w:rsidR="00777CCD" w:rsidRDefault="00DF3032" w:rsidP="00C9204E">
            <w:pPr>
              <w:pStyle w:val="Normal1"/>
              <w:widowControl w:val="0"/>
              <w:numPr>
                <w:ilvl w:val="0"/>
                <w:numId w:val="10"/>
              </w:numPr>
              <w:spacing w:before="40" w:after="40" w:line="240" w:lineRule="auto"/>
              <w:contextualSpacing/>
            </w:pPr>
            <w:r w:rsidRPr="007D4F02">
              <w:rPr>
                <w:rFonts w:asciiTheme="majorHAnsi" w:hAnsiTheme="majorHAnsi"/>
              </w:rPr>
              <w:t>Contaminated clothing should be removed to prevent prolonged exposure to irritant.</w:t>
            </w:r>
          </w:p>
          <w:p w14:paraId="75AD9E23" w14:textId="77777777" w:rsidR="007D4F02" w:rsidRDefault="007D4F02" w:rsidP="00C9204E">
            <w:pPr>
              <w:pStyle w:val="Normal1"/>
              <w:widowControl w:val="0"/>
              <w:spacing w:before="40" w:after="40" w:line="240" w:lineRule="auto"/>
              <w:ind w:left="328"/>
              <w:contextualSpacing/>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4" w:history="1">
              <w:r w:rsidRPr="00D5698D">
                <w:rPr>
                  <w:rStyle w:val="Hyperlink"/>
                  <w:rFonts w:eastAsia="Times New Roman" w:cs="Aparajita"/>
                  <w:b/>
                  <w:snapToGrid w:val="0"/>
                </w:rPr>
                <w:t>accident form</w:t>
              </w:r>
            </w:hyperlink>
          </w:p>
        </w:tc>
      </w:tr>
      <w:tr w:rsidR="00777CCD" w14:paraId="4205A278" w14:textId="77777777" w:rsidTr="00C9204E">
        <w:trPr>
          <w:trHeight w:val="420"/>
          <w:jc w:val="center"/>
        </w:trPr>
        <w:tc>
          <w:tcPr>
            <w:tcW w:w="10800" w:type="dxa"/>
            <w:shd w:val="clear" w:color="auto" w:fill="000E2F"/>
            <w:vAlign w:val="center"/>
          </w:tcPr>
          <w:p w14:paraId="1985EDEF" w14:textId="77777777" w:rsidR="00777CCD" w:rsidRDefault="00DF3032" w:rsidP="00F330C3">
            <w:pPr>
              <w:pStyle w:val="Heading1"/>
              <w:keepNext w:val="0"/>
              <w:keepLines w:val="0"/>
              <w:spacing w:before="80" w:after="80" w:line="240" w:lineRule="auto"/>
              <w:rPr>
                <w:b/>
                <w:sz w:val="24"/>
                <w:szCs w:val="24"/>
              </w:rPr>
            </w:pPr>
            <w:r>
              <w:rPr>
                <w:b/>
                <w:color w:val="FFFFFF"/>
                <w:sz w:val="24"/>
                <w:szCs w:val="24"/>
              </w:rPr>
              <w:t>SECTION 8 – FIRST AID PROCEDURES</w:t>
            </w:r>
          </w:p>
        </w:tc>
      </w:tr>
      <w:tr w:rsidR="00777CCD" w14:paraId="1AB381C4" w14:textId="77777777" w:rsidTr="00C9204E">
        <w:trPr>
          <w:trHeight w:val="1268"/>
          <w:jc w:val="center"/>
        </w:trPr>
        <w:tc>
          <w:tcPr>
            <w:tcW w:w="10800" w:type="dxa"/>
            <w:shd w:val="clear" w:color="auto" w:fill="FFFFFF"/>
            <w:vAlign w:val="center"/>
          </w:tcPr>
          <w:p w14:paraId="6D36BBB8" w14:textId="77777777" w:rsidR="00777CCD" w:rsidRDefault="00DF3032" w:rsidP="00F330C3">
            <w:pPr>
              <w:pStyle w:val="Normal1"/>
              <w:widowControl w:val="0"/>
              <w:numPr>
                <w:ilvl w:val="0"/>
                <w:numId w:val="7"/>
              </w:numPr>
              <w:spacing w:before="80" w:after="80" w:line="240" w:lineRule="auto"/>
              <w:contextualSpacing/>
            </w:pPr>
            <w:r>
              <w:t>First Aid should be administered in a manner consistent with the spilled chemical’s</w:t>
            </w:r>
            <w:r w:rsidR="007D4F02">
              <w:t xml:space="preserve"> safety data sheet</w:t>
            </w:r>
          </w:p>
          <w:p w14:paraId="67CC71C9" w14:textId="77777777" w:rsidR="00777CCD" w:rsidRDefault="007D4F02" w:rsidP="00F330C3">
            <w:pPr>
              <w:pStyle w:val="Normal1"/>
              <w:widowControl w:val="0"/>
              <w:numPr>
                <w:ilvl w:val="0"/>
                <w:numId w:val="7"/>
              </w:numPr>
              <w:spacing w:before="80" w:after="80" w:line="240" w:lineRule="auto"/>
              <w:contextualSpacing/>
            </w:pPr>
            <w:r w:rsidRPr="00FA1BC6">
              <w:rPr>
                <w:rFonts w:eastAsia="Times New Roman" w:cs="Aparajita"/>
                <w:snapToGrid w:val="0"/>
                <w:shd w:val="clear" w:color="auto" w:fill="FFFFFF"/>
              </w:rPr>
              <w:t xml:space="preserve">Immediately </w:t>
            </w:r>
            <w:r>
              <w:rPr>
                <w:rFonts w:eastAsia="Times New Roman" w:cs="Aparajita"/>
                <w:snapToGrid w:val="0"/>
              </w:rPr>
              <w:t xml:space="preserve">move to safety shower or other water source and begin rinsing affected area(s). </w:t>
            </w:r>
            <w:r w:rsidRPr="00A529E8">
              <w:rPr>
                <w:rFonts w:eastAsia="Times New Roman" w:cs="Aparajita"/>
                <w:snapToGrid w:val="0"/>
              </w:rPr>
              <w:t>Remove contaminated clothing (if applicable)</w:t>
            </w:r>
            <w:r>
              <w:rPr>
                <w:rFonts w:eastAsia="Times New Roman" w:cs="Aparajita"/>
                <w:snapToGrid w:val="0"/>
              </w:rPr>
              <w:t xml:space="preserve"> while flushing</w:t>
            </w:r>
          </w:p>
          <w:p w14:paraId="2936143F" w14:textId="77777777" w:rsidR="007D4F02" w:rsidRDefault="007D4F02" w:rsidP="00F330C3">
            <w:pPr>
              <w:pStyle w:val="Normal1"/>
              <w:widowControl w:val="0"/>
              <w:spacing w:before="80" w:after="80" w:line="240" w:lineRule="auto"/>
              <w:ind w:left="360"/>
              <w:contextualSpacing/>
            </w:pPr>
            <w:r w:rsidRPr="00D5698D">
              <w:rPr>
                <w:rFonts w:eastAsia="Times New Roman" w:cs="Aparajita"/>
                <w:b/>
                <w:snapToGrid w:val="0"/>
              </w:rPr>
              <w:t xml:space="preserve">Report any incident to the PI </w:t>
            </w:r>
            <w:r w:rsidRPr="00D5698D">
              <w:rPr>
                <w:rFonts w:eastAsia="Times New Roman" w:cs="Aparajita"/>
                <w:b/>
                <w:snapToGrid w:val="0"/>
                <w:u w:val="single"/>
              </w:rPr>
              <w:t>and</w:t>
            </w:r>
            <w:r w:rsidRPr="00D5698D">
              <w:rPr>
                <w:rFonts w:eastAsia="Times New Roman" w:cs="Aparajita"/>
                <w:b/>
                <w:snapToGrid w:val="0"/>
              </w:rPr>
              <w:t xml:space="preserve"> fill out the </w:t>
            </w:r>
            <w:hyperlink r:id="rId15" w:history="1">
              <w:r w:rsidRPr="00D5698D">
                <w:rPr>
                  <w:rStyle w:val="Hyperlink"/>
                  <w:rFonts w:eastAsia="Times New Roman" w:cs="Aparajita"/>
                  <w:b/>
                  <w:snapToGrid w:val="0"/>
                </w:rPr>
                <w:t>accident form</w:t>
              </w:r>
            </w:hyperlink>
          </w:p>
        </w:tc>
      </w:tr>
      <w:tr w:rsidR="00777CCD" w14:paraId="765F5FD3" w14:textId="77777777" w:rsidTr="00C9204E">
        <w:trPr>
          <w:trHeight w:val="420"/>
          <w:jc w:val="center"/>
        </w:trPr>
        <w:tc>
          <w:tcPr>
            <w:tcW w:w="10800" w:type="dxa"/>
            <w:shd w:val="clear" w:color="auto" w:fill="000E2F"/>
            <w:vAlign w:val="center"/>
          </w:tcPr>
          <w:p w14:paraId="7385FD9D" w14:textId="77777777" w:rsidR="00777CCD" w:rsidRDefault="00DF3032" w:rsidP="00F330C3">
            <w:pPr>
              <w:pStyle w:val="Heading1"/>
              <w:keepNext w:val="0"/>
              <w:keepLines w:val="0"/>
              <w:spacing w:before="80" w:after="80" w:line="240" w:lineRule="auto"/>
              <w:rPr>
                <w:b/>
                <w:sz w:val="24"/>
                <w:szCs w:val="24"/>
              </w:rPr>
            </w:pPr>
            <w:r>
              <w:rPr>
                <w:b/>
                <w:color w:val="FFFFFF"/>
                <w:sz w:val="24"/>
                <w:szCs w:val="24"/>
              </w:rPr>
              <w:t>SECTION 9 – WASTE MANAGEMENT</w:t>
            </w:r>
          </w:p>
        </w:tc>
      </w:tr>
      <w:tr w:rsidR="00777CCD" w14:paraId="646ABD2B" w14:textId="77777777" w:rsidTr="00C9204E">
        <w:trPr>
          <w:trHeight w:val="420"/>
          <w:jc w:val="center"/>
        </w:trPr>
        <w:tc>
          <w:tcPr>
            <w:tcW w:w="10800" w:type="dxa"/>
            <w:shd w:val="clear" w:color="auto" w:fill="FFFFFF"/>
            <w:vAlign w:val="center"/>
          </w:tcPr>
          <w:p w14:paraId="43EC2228" w14:textId="77777777" w:rsidR="005402B0" w:rsidRDefault="005402B0" w:rsidP="00F330C3">
            <w:pPr>
              <w:pStyle w:val="ListParagraph"/>
              <w:widowControl w:val="0"/>
              <w:numPr>
                <w:ilvl w:val="0"/>
                <w:numId w:val="4"/>
              </w:numPr>
              <w:spacing w:before="80" w:after="80" w:line="240" w:lineRule="auto"/>
              <w:rPr>
                <w:rFonts w:ascii="Calibri" w:eastAsia="Times New Roman" w:hAnsi="Calibri" w:cs="Aparajita"/>
                <w:snapToGrid w:val="0"/>
              </w:rPr>
            </w:pPr>
            <w:r>
              <w:rPr>
                <w:rFonts w:ascii="Calibri" w:eastAsia="Times New Roman" w:hAnsi="Calibri" w:cs="Aparajita"/>
                <w:snapToGrid w:val="0"/>
              </w:rPr>
              <w:t xml:space="preserve">Keep recycled, color- and odor-less methylene chloride/chloroform/methanol/ethanol in the bottles provided and use it as a washing solvent. Dispose of discolored or smelly solvents, or any solvent that might contain a hazardous substance (outside of the solvent itself) </w:t>
            </w:r>
          </w:p>
          <w:p w14:paraId="54E71FC9" w14:textId="77777777" w:rsidR="005402B0" w:rsidRPr="005402B0" w:rsidRDefault="005402B0" w:rsidP="00F330C3">
            <w:pPr>
              <w:pStyle w:val="ListParagraph"/>
              <w:widowControl w:val="0"/>
              <w:numPr>
                <w:ilvl w:val="0"/>
                <w:numId w:val="4"/>
              </w:numPr>
              <w:spacing w:before="80" w:after="80" w:line="240" w:lineRule="auto"/>
              <w:rPr>
                <w:rFonts w:ascii="Calibri" w:eastAsia="Times New Roman" w:hAnsi="Calibri" w:cs="Aparajita"/>
                <w:snapToGrid w:val="0"/>
              </w:rPr>
            </w:pPr>
            <w:r w:rsidRPr="005402B0">
              <w:rPr>
                <w:rFonts w:ascii="Calibri" w:eastAsia="Times New Roman" w:hAnsi="Calibri" w:cs="Aparajita"/>
                <w:snapToGrid w:val="0"/>
              </w:rPr>
              <w:lastRenderedPageBreak/>
              <w:t>All waste must be labeled with “Hazardous Waste” stickers or tags, use full chemical names to describe the waste (i.e., no chemical abbreviations or symbols), be stored in sturdy containers with tight-fitting caps or lids, and be stored alone or with other compatible chemicals</w:t>
            </w:r>
          </w:p>
          <w:p w14:paraId="41BB5842" w14:textId="77777777" w:rsidR="005402B0" w:rsidRPr="005402B0" w:rsidRDefault="005402B0" w:rsidP="00F330C3">
            <w:pPr>
              <w:pStyle w:val="ListParagraph"/>
              <w:widowControl w:val="0"/>
              <w:numPr>
                <w:ilvl w:val="0"/>
                <w:numId w:val="4"/>
              </w:numPr>
              <w:spacing w:before="80" w:after="80" w:line="240" w:lineRule="auto"/>
              <w:rPr>
                <w:rFonts w:ascii="Calibri" w:eastAsia="Times New Roman" w:hAnsi="Calibri" w:cs="Aparajita"/>
                <w:snapToGrid w:val="0"/>
              </w:rPr>
            </w:pPr>
            <w:r w:rsidRPr="005402B0">
              <w:rPr>
                <w:rFonts w:ascii="Calibri" w:eastAsia="Times New Roman" w:hAnsi="Calibri" w:cs="Aparajita"/>
                <w:snapToGrid w:val="0"/>
              </w:rPr>
              <w:t xml:space="preserve">Hazardous wastes must be stored at or near a green “Satellite Accumulation Area” sign prior to disposal by EHS. Once the containers are 80% filled, fill our EH&amp;S chemical </w:t>
            </w:r>
            <w:hyperlink r:id="rId16" w:history="1">
              <w:r w:rsidRPr="005402B0">
                <w:rPr>
                  <w:rStyle w:val="Hyperlink"/>
                  <w:rFonts w:ascii="Calibri" w:eastAsia="Times New Roman" w:hAnsi="Calibri" w:cs="Aparajita"/>
                  <w:snapToGrid w:val="0"/>
                </w:rPr>
                <w:t>waste pickup form</w:t>
              </w:r>
            </w:hyperlink>
          </w:p>
          <w:p w14:paraId="4B35A794" w14:textId="77777777" w:rsidR="00777CCD" w:rsidRDefault="005402B0" w:rsidP="00F330C3">
            <w:pPr>
              <w:pStyle w:val="Normal1"/>
              <w:widowControl w:val="0"/>
              <w:numPr>
                <w:ilvl w:val="0"/>
                <w:numId w:val="4"/>
              </w:numPr>
              <w:spacing w:before="80" w:after="80" w:line="240" w:lineRule="auto"/>
              <w:contextualSpacing/>
            </w:pPr>
            <w:r w:rsidRPr="005402B0">
              <w:rPr>
                <w:rFonts w:eastAsia="Times New Roman" w:cs="Aparajita"/>
                <w:snapToGrid w:val="0"/>
              </w:rPr>
              <w:t xml:space="preserve">The </w:t>
            </w:r>
            <w:hyperlink r:id="rId17" w:history="1">
              <w:r w:rsidRPr="005402B0">
                <w:rPr>
                  <w:rStyle w:val="Hyperlink"/>
                  <w:rFonts w:eastAsia="Times New Roman" w:cs="Aparajita"/>
                  <w:snapToGrid w:val="0"/>
                </w:rPr>
                <w:t>Chemical Waste Disposal Manual</w:t>
              </w:r>
            </w:hyperlink>
            <w:r w:rsidRPr="005402B0">
              <w:rPr>
                <w:rFonts w:eastAsia="Times New Roman" w:cs="Aparajita"/>
                <w:snapToGrid w:val="0"/>
              </w:rPr>
              <w:t xml:space="preserve"> must be used as a reference</w:t>
            </w:r>
          </w:p>
        </w:tc>
      </w:tr>
      <w:tr w:rsidR="00777CCD" w14:paraId="78E48A27" w14:textId="77777777" w:rsidTr="00C9204E">
        <w:trPr>
          <w:trHeight w:val="420"/>
          <w:jc w:val="center"/>
        </w:trPr>
        <w:tc>
          <w:tcPr>
            <w:tcW w:w="10800" w:type="dxa"/>
            <w:shd w:val="clear" w:color="auto" w:fill="000E2F"/>
            <w:vAlign w:val="center"/>
          </w:tcPr>
          <w:p w14:paraId="6DE803BE" w14:textId="77777777" w:rsidR="00777CCD" w:rsidRDefault="00DF3032" w:rsidP="00F330C3">
            <w:pPr>
              <w:pStyle w:val="Heading1"/>
              <w:keepNext w:val="0"/>
              <w:keepLines w:val="0"/>
              <w:spacing w:before="80" w:after="80"/>
              <w:rPr>
                <w:b/>
                <w:sz w:val="24"/>
                <w:szCs w:val="24"/>
              </w:rPr>
            </w:pPr>
            <w:r>
              <w:rPr>
                <w:b/>
                <w:color w:val="F2F2F2"/>
                <w:sz w:val="24"/>
                <w:szCs w:val="24"/>
              </w:rPr>
              <w:lastRenderedPageBreak/>
              <w:t>SECTION 10 – DECONTAMINATION PROCEDURES</w:t>
            </w:r>
          </w:p>
        </w:tc>
      </w:tr>
      <w:tr w:rsidR="00777CCD" w14:paraId="39332954" w14:textId="77777777" w:rsidTr="00C9204E">
        <w:trPr>
          <w:trHeight w:val="420"/>
          <w:jc w:val="center"/>
        </w:trPr>
        <w:tc>
          <w:tcPr>
            <w:tcW w:w="10800" w:type="dxa"/>
            <w:shd w:val="clear" w:color="auto" w:fill="FFFFFF"/>
            <w:vAlign w:val="center"/>
          </w:tcPr>
          <w:p w14:paraId="7294FD5D" w14:textId="77777777" w:rsidR="00777CCD" w:rsidRDefault="00DF3032" w:rsidP="00F330C3">
            <w:pPr>
              <w:pStyle w:val="Normal1"/>
              <w:widowControl w:val="0"/>
              <w:numPr>
                <w:ilvl w:val="0"/>
                <w:numId w:val="16"/>
              </w:numPr>
              <w:spacing w:before="80" w:after="80" w:line="240" w:lineRule="auto"/>
              <w:contextualSpacing/>
            </w:pPr>
            <w:r>
              <w:t>Collecting flask should be emptied and cleaned with acetone following a run</w:t>
            </w:r>
          </w:p>
          <w:p w14:paraId="58C8DB16" w14:textId="77777777" w:rsidR="00777CCD" w:rsidRDefault="00DF3032" w:rsidP="00F330C3">
            <w:pPr>
              <w:pStyle w:val="Normal1"/>
              <w:widowControl w:val="0"/>
              <w:numPr>
                <w:ilvl w:val="0"/>
                <w:numId w:val="16"/>
              </w:numPr>
              <w:spacing w:before="80" w:after="80" w:line="240" w:lineRule="auto"/>
              <w:contextualSpacing/>
            </w:pPr>
            <w:r>
              <w:t>Bump traps should be cleaned with acetone following runs.</w:t>
            </w:r>
          </w:p>
          <w:p w14:paraId="2C89B00A" w14:textId="77777777" w:rsidR="00777CCD" w:rsidRDefault="00A16749" w:rsidP="00F330C3">
            <w:pPr>
              <w:pStyle w:val="Normal1"/>
              <w:widowControl w:val="0"/>
              <w:numPr>
                <w:ilvl w:val="0"/>
                <w:numId w:val="16"/>
              </w:numPr>
              <w:spacing w:before="80" w:after="80" w:line="240" w:lineRule="auto"/>
              <w:contextualSpacing/>
            </w:pPr>
            <w:r w:rsidRPr="00F330C3">
              <w:t>Become familiar with the maintenance of the rotary evaporator</w:t>
            </w:r>
            <w:r>
              <w:t xml:space="preserve"> by asking more senior members in your research group and which part can be replaced/cleaned/decontaminated/degreased how</w:t>
            </w:r>
          </w:p>
        </w:tc>
      </w:tr>
      <w:tr w:rsidR="00777CCD" w14:paraId="7E9F1EC8" w14:textId="77777777" w:rsidTr="00C9204E">
        <w:trPr>
          <w:trHeight w:val="420"/>
          <w:jc w:val="center"/>
        </w:trPr>
        <w:tc>
          <w:tcPr>
            <w:tcW w:w="10800" w:type="dxa"/>
            <w:shd w:val="clear" w:color="auto" w:fill="000E2F"/>
            <w:vAlign w:val="center"/>
          </w:tcPr>
          <w:p w14:paraId="7AC5501B" w14:textId="77777777" w:rsidR="00777CCD" w:rsidRDefault="00DF3032" w:rsidP="00F330C3">
            <w:pPr>
              <w:pStyle w:val="Heading1"/>
              <w:keepNext w:val="0"/>
              <w:keepLines w:val="0"/>
              <w:spacing w:before="80" w:after="80"/>
              <w:rPr>
                <w:b/>
                <w:sz w:val="24"/>
                <w:szCs w:val="24"/>
              </w:rPr>
            </w:pPr>
            <w:r>
              <w:rPr>
                <w:b/>
                <w:color w:val="FFFFFF"/>
                <w:sz w:val="24"/>
                <w:szCs w:val="24"/>
              </w:rPr>
              <w:t>SECTION 11 – SPECIFIC PROCEDURE</w:t>
            </w:r>
          </w:p>
        </w:tc>
      </w:tr>
      <w:tr w:rsidR="00777CCD" w14:paraId="31E4ECB1" w14:textId="77777777" w:rsidTr="00C9204E">
        <w:trPr>
          <w:trHeight w:val="420"/>
          <w:jc w:val="center"/>
        </w:trPr>
        <w:tc>
          <w:tcPr>
            <w:tcW w:w="10800" w:type="dxa"/>
            <w:shd w:val="clear" w:color="auto" w:fill="FFFFFF"/>
            <w:vAlign w:val="center"/>
          </w:tcPr>
          <w:p w14:paraId="396CCBFA" w14:textId="77777777" w:rsidR="00777CCD" w:rsidRDefault="00DF3032" w:rsidP="00F330C3">
            <w:pPr>
              <w:pStyle w:val="Normal1"/>
              <w:widowControl w:val="0"/>
              <w:spacing w:before="80" w:after="80" w:line="240" w:lineRule="auto"/>
            </w:pPr>
            <w:r>
              <w:t>A detailed procedure for the use of a rotary evaporated can be found in the link:</w:t>
            </w:r>
          </w:p>
          <w:p w14:paraId="1DDA1043" w14:textId="77777777" w:rsidR="00777CCD" w:rsidRDefault="006856AF" w:rsidP="00F330C3">
            <w:pPr>
              <w:pStyle w:val="Normal1"/>
              <w:widowControl w:val="0"/>
              <w:spacing w:before="80" w:after="80" w:line="240" w:lineRule="auto"/>
            </w:pPr>
            <w:hyperlink r:id="rId18">
              <w:r w:rsidR="00DF3032">
                <w:rPr>
                  <w:color w:val="1155CC"/>
                  <w:u w:val="single"/>
                </w:rPr>
                <w:t>http://sydney.edu.au/science/molecular_bioscience/ohs/documents/sop/SOP%20SMB_050.1_Using%20a%20rotory%20evaporator%20DF%20NS%200614.pdf</w:t>
              </w:r>
            </w:hyperlink>
          </w:p>
          <w:p w14:paraId="51AE9708" w14:textId="77777777" w:rsidR="00777CCD" w:rsidRDefault="00777CCD" w:rsidP="00F330C3">
            <w:pPr>
              <w:pStyle w:val="Normal1"/>
              <w:widowControl w:val="0"/>
              <w:spacing w:before="80" w:after="80" w:line="240" w:lineRule="auto"/>
            </w:pPr>
          </w:p>
        </w:tc>
      </w:tr>
    </w:tbl>
    <w:p w14:paraId="36591386" w14:textId="77777777" w:rsidR="00777CCD" w:rsidRDefault="00DF3032">
      <w:pPr>
        <w:pStyle w:val="Normal1"/>
        <w:jc w:val="center"/>
      </w:pPr>
      <w: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39"/>
        <w:gridCol w:w="2884"/>
        <w:gridCol w:w="1481"/>
        <w:gridCol w:w="16"/>
      </w:tblGrid>
      <w:tr w:rsidR="00A16749" w:rsidRPr="00174A02" w14:paraId="74CCA7B6" w14:textId="77777777" w:rsidTr="001C328A">
        <w:trPr>
          <w:trHeight w:val="432"/>
          <w:jc w:val="center"/>
        </w:trPr>
        <w:tc>
          <w:tcPr>
            <w:tcW w:w="10620" w:type="dxa"/>
            <w:gridSpan w:val="4"/>
            <w:shd w:val="clear" w:color="auto" w:fill="000E2F"/>
            <w:vAlign w:val="center"/>
          </w:tcPr>
          <w:p w14:paraId="124ED1A0" w14:textId="77777777" w:rsidR="00A16749" w:rsidRPr="00174A02" w:rsidRDefault="00A16749" w:rsidP="00A16749">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A16749" w:rsidRPr="000570F1" w14:paraId="0D4CA5ED" w14:textId="77777777" w:rsidTr="001C328A">
        <w:trPr>
          <w:trHeight w:val="432"/>
          <w:jc w:val="center"/>
        </w:trPr>
        <w:tc>
          <w:tcPr>
            <w:tcW w:w="10620" w:type="dxa"/>
            <w:gridSpan w:val="4"/>
            <w:shd w:val="clear" w:color="auto" w:fill="FFFFFF" w:themeFill="background1"/>
            <w:vAlign w:val="center"/>
          </w:tcPr>
          <w:p w14:paraId="6A4AE0FC" w14:textId="77777777" w:rsidR="00A16749" w:rsidRPr="00362737" w:rsidRDefault="00A16749" w:rsidP="00A16749">
            <w:pPr>
              <w:widowControl w:val="0"/>
              <w:spacing w:before="80" w:after="80" w:line="240" w:lineRule="auto"/>
              <w:rPr>
                <w:rFonts w:eastAsia="Times New Roman" w:cs="Aparajita"/>
                <w:snapToGrid w:val="0"/>
              </w:rPr>
            </w:pPr>
            <w:r w:rsidRPr="00362737">
              <w:rPr>
                <w:rFonts w:eastAsia="Times New Roman" w:cs="Aparajita"/>
                <w:snapToGrid w:val="0"/>
              </w:rPr>
              <w:t>I have reviewed, understand and agree to follow this lab-specific standard operating procedure (LSOP)</w:t>
            </w:r>
            <w:r>
              <w:rPr>
                <w:rFonts w:eastAsia="Times New Roman" w:cs="Aparajita"/>
                <w:snapToGrid w:val="0"/>
              </w:rPr>
              <w:t xml:space="preserve"> for osmium tetroxide</w:t>
            </w:r>
            <w:r w:rsidRPr="00362737">
              <w:rPr>
                <w:rFonts w:eastAsia="Times New Roman" w:cs="Aparajita"/>
                <w:i/>
                <w:snapToGrid w:val="0"/>
              </w:rPr>
              <w:t xml:space="preserve">. </w:t>
            </w:r>
            <w:r w:rsidRPr="00362737">
              <w:rPr>
                <w:rFonts w:eastAsia="Times New Roman" w:cs="Aparajita"/>
                <w:snapToGrid w:val="0"/>
              </w:rPr>
              <w:t xml:space="preserve">Failure to follow this LSOP or lab-specific training guidelines is a violation of the </w:t>
            </w:r>
            <w:hyperlink r:id="rId19" w:history="1">
              <w:r w:rsidRPr="00362737">
                <w:rPr>
                  <w:rFonts w:eastAsia="Times New Roman" w:cs="Aparajita"/>
                  <w:i/>
                  <w:snapToGrid w:val="0"/>
                  <w:color w:val="0000FF" w:themeColor="hyperlink"/>
                  <w:u w:val="single"/>
                </w:rPr>
                <w:t>University Health &amp; Safety Policy</w:t>
              </w:r>
            </w:hyperlink>
            <w:r w:rsidRPr="00362737">
              <w:rPr>
                <w:rFonts w:eastAsia="Times New Roman" w:cs="Aparajita"/>
                <w:snapToGrid w:val="0"/>
              </w:rPr>
              <w:t xml:space="preserve"> and </w:t>
            </w:r>
            <w:hyperlink r:id="rId20" w:history="1">
              <w:r w:rsidRPr="00362737">
                <w:rPr>
                  <w:rFonts w:eastAsia="Times New Roman" w:cs="Aparajita"/>
                  <w:i/>
                  <w:snapToGrid w:val="0"/>
                  <w:color w:val="0000FF" w:themeColor="hyperlink"/>
                  <w:u w:val="single"/>
                </w:rPr>
                <w:t>University Code of Conduct</w:t>
              </w:r>
            </w:hyperlink>
            <w:r w:rsidRPr="00362737">
              <w:rPr>
                <w:rFonts w:eastAsia="Times New Roman" w:cs="Aparajita"/>
                <w:snapToGrid w:val="0"/>
              </w:rPr>
              <w:t>.</w:t>
            </w:r>
          </w:p>
          <w:p w14:paraId="55A604BA" w14:textId="77777777" w:rsidR="00A16749" w:rsidRPr="00362737" w:rsidRDefault="00A16749" w:rsidP="00A16749">
            <w:pPr>
              <w:widowControl w:val="0"/>
              <w:spacing w:before="80" w:after="80" w:line="240" w:lineRule="auto"/>
              <w:rPr>
                <w:rFonts w:eastAsia="Times New Roman" w:cs="Aparajita"/>
                <w:snapToGrid w:val="0"/>
              </w:rPr>
            </w:pPr>
            <w:r w:rsidRPr="00362737">
              <w:rPr>
                <w:rFonts w:eastAsia="Times New Roman" w:cs="Aparajita"/>
                <w:snapToGrid w:val="0"/>
              </w:rPr>
              <w:t>Further approval and/or review of this LSOP by the PI/Supervisor is required if any of the following events occur:</w:t>
            </w:r>
          </w:p>
          <w:p w14:paraId="5D1043F6" w14:textId="77777777" w:rsidR="00A16749" w:rsidRPr="00362737" w:rsidRDefault="00A16749" w:rsidP="00A1674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eastAsia="Times New Roman" w:cs="Aparajita"/>
              </w:rPr>
            </w:pPr>
            <w:r w:rsidRPr="00362737">
              <w:rPr>
                <w:rFonts w:eastAsia="Times New Roman" w:cs="Aparajita"/>
              </w:rPr>
              <w:t xml:space="preserve">A </w:t>
            </w:r>
            <w:r>
              <w:rPr>
                <w:rFonts w:eastAsia="Times New Roman" w:cs="Aparajita"/>
              </w:rPr>
              <w:t xml:space="preserve">significant </w:t>
            </w:r>
            <w:r w:rsidRPr="00362737">
              <w:rPr>
                <w:rFonts w:eastAsia="Times New Roman" w:cs="Aparajita"/>
              </w:rPr>
              <w:t>change in amount (</w:t>
            </w:r>
            <w:r>
              <w:rPr>
                <w:rFonts w:eastAsia="Times New Roman" w:cs="Aparajita"/>
              </w:rPr>
              <w:t>i.e., doubling of the scale of reaction</w:t>
            </w:r>
            <w:r w:rsidRPr="00362737">
              <w:rPr>
                <w:rFonts w:eastAsia="Times New Roman" w:cs="Aparajita"/>
              </w:rPr>
              <w:t>) or substitution of the chemicals in the procedure is planned</w:t>
            </w:r>
          </w:p>
          <w:p w14:paraId="540C1FE3" w14:textId="77777777" w:rsidR="00A16749" w:rsidRPr="00362737" w:rsidRDefault="00A16749" w:rsidP="00A1674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Times New Roman" w:cs="Aparajita"/>
              </w:rPr>
            </w:pPr>
            <w:r w:rsidRPr="00362737">
              <w:rPr>
                <w:rFonts w:eastAsia="Times New Roman" w:cs="Aparajita"/>
              </w:rPr>
              <w:t>A major change in the agreed-upon experimental set-up is planned (heating instead of room temp, etc.)</w:t>
            </w:r>
          </w:p>
          <w:p w14:paraId="70303A67" w14:textId="77777777" w:rsidR="00A16749" w:rsidRPr="00362737" w:rsidRDefault="00A16749" w:rsidP="00A1674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eastAsia="Times New Roman" w:cs="Aparajita"/>
              </w:rPr>
            </w:pPr>
            <w:r w:rsidRPr="00362737">
              <w:rPr>
                <w:rFonts w:eastAsia="Times New Roman" w:cs="Aparajita"/>
              </w:rPr>
              <w:t>Any signs of a failure in safety design or equipment are observed</w:t>
            </w:r>
          </w:p>
          <w:p w14:paraId="053D73B0" w14:textId="77777777" w:rsidR="00A16749" w:rsidRPr="00362737" w:rsidRDefault="00A16749" w:rsidP="00A1674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eastAsia="Times New Roman" w:cs="Aparajita"/>
              </w:rPr>
            </w:pPr>
            <w:r w:rsidRPr="00362737">
              <w:rPr>
                <w:rFonts w:eastAsia="Times New Roman" w:cs="Aparajita"/>
              </w:rPr>
              <w:t>Any signs or symptoms of a chemical exposure to any personnel are observed</w:t>
            </w:r>
          </w:p>
          <w:p w14:paraId="218BDA91" w14:textId="77777777" w:rsidR="00A16749" w:rsidRPr="000570F1" w:rsidRDefault="00A16749" w:rsidP="00A16749">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Pr>
                <w:rFonts w:eastAsia="Times New Roman" w:cs="Aparajita"/>
              </w:rPr>
              <w:br/>
            </w:r>
          </w:p>
        </w:tc>
      </w:tr>
      <w:tr w:rsidR="00A16749" w:rsidRPr="00113202" w14:paraId="0F1386F4" w14:textId="77777777" w:rsidTr="001C328A">
        <w:trPr>
          <w:trHeight w:val="638"/>
          <w:jc w:val="center"/>
        </w:trPr>
        <w:tc>
          <w:tcPr>
            <w:tcW w:w="6239" w:type="dxa"/>
            <w:shd w:val="clear" w:color="auto" w:fill="D9D9D9" w:themeFill="background1" w:themeFillShade="D9"/>
            <w:vAlign w:val="center"/>
          </w:tcPr>
          <w:p w14:paraId="50861FE2" w14:textId="77777777" w:rsidR="00A16749" w:rsidRPr="00113202" w:rsidRDefault="00A16749" w:rsidP="00A16749">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884" w:type="dxa"/>
            <w:shd w:val="clear" w:color="auto" w:fill="D9D9D9" w:themeFill="background1" w:themeFillShade="D9"/>
            <w:vAlign w:val="center"/>
          </w:tcPr>
          <w:p w14:paraId="4481F013" w14:textId="77777777" w:rsidR="00A16749" w:rsidRPr="00113202" w:rsidRDefault="00A16749" w:rsidP="00A16749">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97" w:type="dxa"/>
            <w:gridSpan w:val="2"/>
            <w:shd w:val="clear" w:color="auto" w:fill="D9D9D9" w:themeFill="background1" w:themeFillShade="D9"/>
            <w:vAlign w:val="center"/>
          </w:tcPr>
          <w:p w14:paraId="47E3F3FA" w14:textId="77777777" w:rsidR="00A16749" w:rsidRPr="00113202" w:rsidRDefault="00A16749" w:rsidP="00A16749">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A16749" w14:paraId="2CE24321" w14:textId="77777777" w:rsidTr="001C328A">
        <w:trPr>
          <w:trHeight w:val="720"/>
          <w:jc w:val="center"/>
        </w:trPr>
        <w:tc>
          <w:tcPr>
            <w:tcW w:w="6239" w:type="dxa"/>
            <w:shd w:val="clear" w:color="auto" w:fill="FFFFFF" w:themeFill="background1"/>
            <w:vAlign w:val="center"/>
          </w:tcPr>
          <w:p w14:paraId="7B2CFCE7"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07EF27F3"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7CDC5CD5" w14:textId="77777777" w:rsidR="00A16749" w:rsidRDefault="00A16749" w:rsidP="00A16749">
            <w:pPr>
              <w:widowControl w:val="0"/>
              <w:spacing w:after="0" w:line="240" w:lineRule="auto"/>
              <w:rPr>
                <w:rFonts w:eastAsia="Times New Roman" w:cs="Aparajita"/>
                <w:snapToGrid w:val="0"/>
              </w:rPr>
            </w:pPr>
          </w:p>
        </w:tc>
      </w:tr>
      <w:tr w:rsidR="00A16749" w14:paraId="009376C2" w14:textId="77777777" w:rsidTr="001C328A">
        <w:trPr>
          <w:trHeight w:val="720"/>
          <w:jc w:val="center"/>
        </w:trPr>
        <w:tc>
          <w:tcPr>
            <w:tcW w:w="6239" w:type="dxa"/>
            <w:shd w:val="clear" w:color="auto" w:fill="FFFFFF" w:themeFill="background1"/>
            <w:vAlign w:val="center"/>
          </w:tcPr>
          <w:p w14:paraId="7F360441"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564E2574"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0EFFA617" w14:textId="77777777" w:rsidR="00A16749" w:rsidRDefault="00A16749" w:rsidP="00A16749">
            <w:pPr>
              <w:widowControl w:val="0"/>
              <w:spacing w:after="0" w:line="240" w:lineRule="auto"/>
              <w:rPr>
                <w:rFonts w:eastAsia="Times New Roman" w:cs="Aparajita"/>
                <w:snapToGrid w:val="0"/>
              </w:rPr>
            </w:pPr>
          </w:p>
        </w:tc>
      </w:tr>
      <w:tr w:rsidR="00A16749" w14:paraId="4DAA9E22" w14:textId="77777777" w:rsidTr="001C328A">
        <w:trPr>
          <w:trHeight w:val="720"/>
          <w:jc w:val="center"/>
        </w:trPr>
        <w:tc>
          <w:tcPr>
            <w:tcW w:w="6239" w:type="dxa"/>
            <w:shd w:val="clear" w:color="auto" w:fill="FFFFFF" w:themeFill="background1"/>
            <w:vAlign w:val="center"/>
          </w:tcPr>
          <w:p w14:paraId="343F9F02"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07C3E1DA"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00BC2A2D" w14:textId="77777777" w:rsidR="00A16749" w:rsidRDefault="00A16749" w:rsidP="00A16749">
            <w:pPr>
              <w:widowControl w:val="0"/>
              <w:spacing w:after="0" w:line="240" w:lineRule="auto"/>
              <w:rPr>
                <w:rFonts w:eastAsia="Times New Roman" w:cs="Aparajita"/>
                <w:snapToGrid w:val="0"/>
              </w:rPr>
            </w:pPr>
          </w:p>
        </w:tc>
      </w:tr>
      <w:tr w:rsidR="00A16749" w14:paraId="033FF3DB" w14:textId="77777777" w:rsidTr="001C328A">
        <w:trPr>
          <w:trHeight w:val="720"/>
          <w:jc w:val="center"/>
        </w:trPr>
        <w:tc>
          <w:tcPr>
            <w:tcW w:w="6239" w:type="dxa"/>
            <w:shd w:val="clear" w:color="auto" w:fill="FFFFFF" w:themeFill="background1"/>
            <w:vAlign w:val="center"/>
          </w:tcPr>
          <w:p w14:paraId="25814CC4"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6C6AD0B2"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58D5202B" w14:textId="77777777" w:rsidR="00A16749" w:rsidRDefault="00A16749" w:rsidP="00A16749">
            <w:pPr>
              <w:widowControl w:val="0"/>
              <w:spacing w:after="0" w:line="240" w:lineRule="auto"/>
              <w:rPr>
                <w:rFonts w:eastAsia="Times New Roman" w:cs="Aparajita"/>
                <w:snapToGrid w:val="0"/>
              </w:rPr>
            </w:pPr>
          </w:p>
        </w:tc>
      </w:tr>
      <w:tr w:rsidR="00A16749" w14:paraId="22D0B5A9" w14:textId="77777777" w:rsidTr="001C328A">
        <w:trPr>
          <w:trHeight w:val="720"/>
          <w:jc w:val="center"/>
        </w:trPr>
        <w:tc>
          <w:tcPr>
            <w:tcW w:w="6239" w:type="dxa"/>
            <w:shd w:val="clear" w:color="auto" w:fill="FFFFFF" w:themeFill="background1"/>
            <w:vAlign w:val="center"/>
          </w:tcPr>
          <w:p w14:paraId="477AD10E"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4DB2DE47"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6206329E" w14:textId="77777777" w:rsidR="00A16749" w:rsidRDefault="00A16749" w:rsidP="00A16749">
            <w:pPr>
              <w:widowControl w:val="0"/>
              <w:spacing w:after="0" w:line="240" w:lineRule="auto"/>
              <w:rPr>
                <w:rFonts w:eastAsia="Times New Roman" w:cs="Aparajita"/>
                <w:snapToGrid w:val="0"/>
              </w:rPr>
            </w:pPr>
          </w:p>
        </w:tc>
      </w:tr>
      <w:tr w:rsidR="00A16749" w14:paraId="09362F46" w14:textId="77777777" w:rsidTr="001C328A">
        <w:trPr>
          <w:trHeight w:val="720"/>
          <w:jc w:val="center"/>
        </w:trPr>
        <w:tc>
          <w:tcPr>
            <w:tcW w:w="6239" w:type="dxa"/>
            <w:shd w:val="clear" w:color="auto" w:fill="FFFFFF" w:themeFill="background1"/>
            <w:vAlign w:val="center"/>
          </w:tcPr>
          <w:p w14:paraId="3BD5DB34"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16472652"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4295D5C1" w14:textId="77777777" w:rsidR="00A16749" w:rsidRDefault="00A16749" w:rsidP="00A16749">
            <w:pPr>
              <w:widowControl w:val="0"/>
              <w:spacing w:after="0" w:line="240" w:lineRule="auto"/>
              <w:rPr>
                <w:rFonts w:eastAsia="Times New Roman" w:cs="Aparajita"/>
                <w:snapToGrid w:val="0"/>
              </w:rPr>
            </w:pPr>
          </w:p>
        </w:tc>
      </w:tr>
      <w:tr w:rsidR="00A16749" w14:paraId="0773A9DD" w14:textId="77777777" w:rsidTr="001C328A">
        <w:trPr>
          <w:trHeight w:val="720"/>
          <w:jc w:val="center"/>
        </w:trPr>
        <w:tc>
          <w:tcPr>
            <w:tcW w:w="6239" w:type="dxa"/>
            <w:shd w:val="clear" w:color="auto" w:fill="FFFFFF" w:themeFill="background1"/>
            <w:vAlign w:val="center"/>
          </w:tcPr>
          <w:p w14:paraId="7EC041F4"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30AF3051"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4BDD64DF" w14:textId="77777777" w:rsidR="00A16749" w:rsidRDefault="00A16749" w:rsidP="00A16749">
            <w:pPr>
              <w:widowControl w:val="0"/>
              <w:spacing w:after="0" w:line="240" w:lineRule="auto"/>
              <w:rPr>
                <w:rFonts w:eastAsia="Times New Roman" w:cs="Aparajita"/>
                <w:snapToGrid w:val="0"/>
              </w:rPr>
            </w:pPr>
          </w:p>
        </w:tc>
      </w:tr>
      <w:tr w:rsidR="00A16749" w14:paraId="1112C771" w14:textId="77777777" w:rsidTr="001C328A">
        <w:trPr>
          <w:trHeight w:val="720"/>
          <w:jc w:val="center"/>
        </w:trPr>
        <w:tc>
          <w:tcPr>
            <w:tcW w:w="6239" w:type="dxa"/>
            <w:shd w:val="clear" w:color="auto" w:fill="FFFFFF" w:themeFill="background1"/>
            <w:vAlign w:val="center"/>
          </w:tcPr>
          <w:p w14:paraId="7B483782" w14:textId="77777777" w:rsidR="00A16749" w:rsidRDefault="00A16749" w:rsidP="00A16749">
            <w:pPr>
              <w:widowControl w:val="0"/>
              <w:spacing w:after="0" w:line="240" w:lineRule="auto"/>
              <w:rPr>
                <w:rFonts w:eastAsia="Times New Roman" w:cs="Aparajita"/>
                <w:snapToGrid w:val="0"/>
              </w:rPr>
            </w:pPr>
          </w:p>
        </w:tc>
        <w:tc>
          <w:tcPr>
            <w:tcW w:w="2884" w:type="dxa"/>
            <w:shd w:val="clear" w:color="auto" w:fill="FFFFFF" w:themeFill="background1"/>
            <w:vAlign w:val="center"/>
          </w:tcPr>
          <w:p w14:paraId="1C866739" w14:textId="77777777" w:rsidR="00A16749" w:rsidRDefault="00A16749" w:rsidP="00A16749">
            <w:pPr>
              <w:widowControl w:val="0"/>
              <w:spacing w:after="0" w:line="240" w:lineRule="auto"/>
              <w:rPr>
                <w:rFonts w:eastAsia="Times New Roman" w:cs="Aparajita"/>
                <w:snapToGrid w:val="0"/>
              </w:rPr>
            </w:pPr>
          </w:p>
        </w:tc>
        <w:tc>
          <w:tcPr>
            <w:tcW w:w="1497" w:type="dxa"/>
            <w:gridSpan w:val="2"/>
            <w:shd w:val="clear" w:color="auto" w:fill="FFFFFF" w:themeFill="background1"/>
            <w:vAlign w:val="center"/>
          </w:tcPr>
          <w:p w14:paraId="6B32A5E2" w14:textId="77777777" w:rsidR="00A16749" w:rsidRDefault="00A16749" w:rsidP="00A16749">
            <w:pPr>
              <w:widowControl w:val="0"/>
              <w:spacing w:after="0" w:line="240" w:lineRule="auto"/>
              <w:rPr>
                <w:rFonts w:eastAsia="Times New Roman" w:cs="Aparajita"/>
                <w:snapToGrid w:val="0"/>
              </w:rPr>
            </w:pPr>
          </w:p>
        </w:tc>
      </w:tr>
      <w:tr w:rsidR="001C328A" w:rsidRPr="001C328A" w14:paraId="16FC3857" w14:textId="77777777" w:rsidTr="001C328A">
        <w:trPr>
          <w:trHeight w:val="432"/>
          <w:jc w:val="center"/>
        </w:trPr>
        <w:tc>
          <w:tcPr>
            <w:tcW w:w="10620" w:type="dxa"/>
            <w:gridSpan w:val="4"/>
            <w:shd w:val="clear" w:color="auto" w:fill="000E2F"/>
            <w:vAlign w:val="center"/>
          </w:tcPr>
          <w:p w14:paraId="1879E2BD" w14:textId="77777777" w:rsidR="00A16749" w:rsidRPr="001C328A" w:rsidRDefault="00A16749" w:rsidP="00A16749">
            <w:pPr>
              <w:widowControl w:val="0"/>
              <w:spacing w:after="0" w:line="240" w:lineRule="auto"/>
              <w:rPr>
                <w:rFonts w:eastAsia="Times New Roman" w:cs="Aparajita"/>
                <w:b/>
                <w:snapToGrid w:val="0"/>
                <w:color w:val="FFFFFF" w:themeColor="background1"/>
                <w:sz w:val="24"/>
                <w:szCs w:val="24"/>
              </w:rPr>
            </w:pPr>
            <w:r w:rsidRPr="001C328A">
              <w:rPr>
                <w:rFonts w:eastAsia="Times New Roman" w:cs="Aparajita"/>
                <w:b/>
                <w:snapToGrid w:val="0"/>
                <w:color w:val="FFFFFF" w:themeColor="background1"/>
                <w:sz w:val="24"/>
                <w:szCs w:val="24"/>
              </w:rPr>
              <w:t>SECTION 12B.</w:t>
            </w:r>
            <w:r w:rsidRPr="001C328A">
              <w:rPr>
                <w:rFonts w:cs="Aparajita"/>
                <w:b/>
                <w:color w:val="FFFFFF" w:themeColor="background1"/>
                <w:sz w:val="24"/>
                <w:szCs w:val="24"/>
              </w:rPr>
              <w:t xml:space="preserve">    PRINCIPAL INVESTIGATOR CERTIFICATION</w:t>
            </w:r>
          </w:p>
        </w:tc>
      </w:tr>
      <w:tr w:rsidR="00A16749" w:rsidRPr="004A0961" w14:paraId="51783A0A" w14:textId="77777777" w:rsidTr="001C328A">
        <w:trPr>
          <w:gridAfter w:val="1"/>
          <w:wAfter w:w="16" w:type="dxa"/>
          <w:trHeight w:val="432"/>
          <w:jc w:val="center"/>
        </w:trPr>
        <w:tc>
          <w:tcPr>
            <w:tcW w:w="10604" w:type="dxa"/>
            <w:gridSpan w:val="3"/>
            <w:shd w:val="clear" w:color="auto" w:fill="FFFFFF" w:themeFill="background1"/>
            <w:vAlign w:val="center"/>
          </w:tcPr>
          <w:p w14:paraId="650A269D" w14:textId="77777777" w:rsidR="00A16749" w:rsidRPr="004A0961" w:rsidRDefault="00A16749" w:rsidP="00A16749">
            <w:pPr>
              <w:widowControl w:val="0"/>
              <w:spacing w:before="40" w:after="40" w:line="240" w:lineRule="auto"/>
              <w:rPr>
                <w:rFonts w:eastAsia="Times New Roman" w:cs="Aparajita"/>
                <w:snapToGrid w:val="0"/>
              </w:rPr>
            </w:pPr>
            <w:r w:rsidRPr="004A0961">
              <w:rPr>
                <w:rFonts w:eastAsia="Times New Roman" w:cs="Aparajita"/>
                <w:snapToGrid w:val="0"/>
              </w:rPr>
              <w:t>I approve the contents of the lab-specific standard operating procedure listed above</w:t>
            </w:r>
            <w:r>
              <w:rPr>
                <w:rFonts w:eastAsia="Times New Roman" w:cs="Aparajita"/>
                <w:snapToGrid w:val="0"/>
              </w:rPr>
              <w:t>.</w:t>
            </w:r>
          </w:p>
        </w:tc>
      </w:tr>
      <w:tr w:rsidR="00A16749" w:rsidRPr="00113202" w14:paraId="602FD430" w14:textId="77777777" w:rsidTr="001C328A">
        <w:trPr>
          <w:gridAfter w:val="1"/>
          <w:wAfter w:w="16" w:type="dxa"/>
          <w:trHeight w:val="827"/>
          <w:jc w:val="center"/>
        </w:trPr>
        <w:tc>
          <w:tcPr>
            <w:tcW w:w="9123" w:type="dxa"/>
            <w:gridSpan w:val="2"/>
            <w:shd w:val="clear" w:color="auto" w:fill="FFFFFF" w:themeFill="background1"/>
          </w:tcPr>
          <w:p w14:paraId="0C5765C8" w14:textId="77777777" w:rsidR="00A16749" w:rsidRPr="00113202" w:rsidRDefault="00A16749" w:rsidP="00A16749">
            <w:pPr>
              <w:widowControl w:val="0"/>
              <w:spacing w:before="120" w:after="0" w:line="240" w:lineRule="auto"/>
              <w:rPr>
                <w:rFonts w:eastAsia="Times New Roman" w:cs="Aparajita"/>
                <w:b/>
                <w:snapToGrid w:val="0"/>
              </w:rPr>
            </w:pPr>
            <w:r>
              <w:rPr>
                <w:rFonts w:eastAsia="Times New Roman" w:cs="Aparajita"/>
                <w:b/>
                <w:snapToGrid w:val="0"/>
              </w:rPr>
              <w:t xml:space="preserve">PI </w:t>
            </w:r>
            <w:r w:rsidRPr="00113202">
              <w:rPr>
                <w:rFonts w:eastAsia="Times New Roman" w:cs="Aparajita"/>
                <w:b/>
                <w:snapToGrid w:val="0"/>
              </w:rPr>
              <w:t>Signature:</w:t>
            </w:r>
          </w:p>
        </w:tc>
        <w:tc>
          <w:tcPr>
            <w:tcW w:w="1481" w:type="dxa"/>
            <w:shd w:val="clear" w:color="auto" w:fill="FFFFFF" w:themeFill="background1"/>
          </w:tcPr>
          <w:p w14:paraId="0FE85C76" w14:textId="77777777" w:rsidR="00A16749" w:rsidRPr="00113202" w:rsidRDefault="00A16749" w:rsidP="00A16749">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1C328A" w:rsidRPr="001C328A" w14:paraId="6BD0CB70" w14:textId="77777777" w:rsidTr="001C328A">
        <w:trPr>
          <w:gridAfter w:val="1"/>
          <w:wAfter w:w="16" w:type="dxa"/>
          <w:trHeight w:val="432"/>
          <w:jc w:val="center"/>
        </w:trPr>
        <w:tc>
          <w:tcPr>
            <w:tcW w:w="10604" w:type="dxa"/>
            <w:gridSpan w:val="3"/>
            <w:shd w:val="clear" w:color="auto" w:fill="000E2F"/>
            <w:vAlign w:val="center"/>
          </w:tcPr>
          <w:p w14:paraId="25EC0D8E" w14:textId="77777777" w:rsidR="00A16749" w:rsidRPr="001C328A" w:rsidRDefault="00A16749" w:rsidP="00A16749">
            <w:pPr>
              <w:widowControl w:val="0"/>
              <w:spacing w:after="0" w:line="240" w:lineRule="auto"/>
              <w:jc w:val="center"/>
              <w:rPr>
                <w:rFonts w:eastAsia="Times New Roman" w:cs="Aparajita"/>
                <w:b/>
                <w:snapToGrid w:val="0"/>
                <w:color w:val="FFFFFF" w:themeColor="background1"/>
                <w:sz w:val="24"/>
                <w:szCs w:val="24"/>
              </w:rPr>
            </w:pPr>
            <w:r w:rsidRPr="001C328A">
              <w:rPr>
                <w:rFonts w:eastAsia="Times New Roman" w:cs="Aparajita"/>
                <w:b/>
                <w:snapToGrid w:val="0"/>
                <w:color w:val="FFFFFF" w:themeColor="background1"/>
                <w:sz w:val="24"/>
                <w:szCs w:val="24"/>
              </w:rPr>
              <w:t>A HARD OR ELECTRONIC COPY (https://bruckner.research.uconn.edu/safety-resources/) OF EACH LAB-SPECIFIC STANDARD OPERATING PROCEDURE MUST BE READILY AVAILBALE IN THE LAB.</w:t>
            </w:r>
          </w:p>
        </w:tc>
      </w:tr>
    </w:tbl>
    <w:p w14:paraId="44197322" w14:textId="77777777" w:rsidR="00777CCD" w:rsidRDefault="00777CCD">
      <w:pPr>
        <w:pStyle w:val="Heading1"/>
        <w:keepNext w:val="0"/>
        <w:keepLines w:val="0"/>
        <w:rPr>
          <w:sz w:val="22"/>
          <w:szCs w:val="22"/>
        </w:rPr>
      </w:pPr>
    </w:p>
    <w:sectPr w:rsidR="00777CCD">
      <w:pgSz w:w="12240" w:h="15840"/>
      <w:pgMar w:top="1071" w:right="1440" w:bottom="1035" w:left="1440" w:header="288" w:footer="4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2353" w14:textId="77777777" w:rsidR="006856AF" w:rsidRDefault="006856AF">
      <w:pPr>
        <w:spacing w:after="0" w:line="240" w:lineRule="auto"/>
      </w:pPr>
      <w:r>
        <w:separator/>
      </w:r>
    </w:p>
  </w:endnote>
  <w:endnote w:type="continuationSeparator" w:id="0">
    <w:p w14:paraId="21CDFCF6" w14:textId="77777777" w:rsidR="006856AF" w:rsidRDefault="0068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Cambria">
    <w:panose1 w:val="02040503050406030204"/>
    <w:charset w:val="00"/>
    <w:family w:val="roman"/>
    <w:pitch w:val="variable"/>
    <w:sig w:usb0="E00002FF" w:usb1="400004FF" w:usb2="00000000" w:usb3="00000000" w:csb0="0000019F" w:csb1="00000000"/>
  </w:font>
  <w:font w:name="Aparajita">
    <w:altName w:val="Devanagari Sangam MN"/>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4AF3986F" w14:textId="77777777" w:rsidR="00A16749" w:rsidRPr="00A34838" w:rsidRDefault="00A34838" w:rsidP="00A34838">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1C328A">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1C328A">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6BABD0D6" w14:textId="77777777" w:rsidR="00A16749" w:rsidRPr="00A34838" w:rsidRDefault="00A34838" w:rsidP="00A34838">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1C328A">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1C328A">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DDFD0" w14:textId="77777777" w:rsidR="006856AF" w:rsidRDefault="006856AF">
      <w:pPr>
        <w:spacing w:after="0" w:line="240" w:lineRule="auto"/>
      </w:pPr>
      <w:r>
        <w:separator/>
      </w:r>
    </w:p>
  </w:footnote>
  <w:footnote w:type="continuationSeparator" w:id="0">
    <w:p w14:paraId="2255D10A" w14:textId="77777777" w:rsidR="006856AF" w:rsidRDefault="0068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9AEA" w14:textId="77777777" w:rsidR="00A16749" w:rsidRDefault="00A16749">
    <w:pPr>
      <w:pStyle w:val="Normal1"/>
      <w:tabs>
        <w:tab w:val="right" w:pos="10170"/>
      </w:tabs>
      <w:spacing w:after="0" w:line="240" w:lineRule="auto"/>
      <w:rPr>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286B" w14:textId="00BCF2FA" w:rsidR="00A16749" w:rsidRPr="00C9204E" w:rsidRDefault="00A16749">
    <w:pPr>
      <w:pStyle w:val="Normal1"/>
      <w:tabs>
        <w:tab w:val="center" w:pos="4680"/>
        <w:tab w:val="right" w:pos="9360"/>
      </w:tabs>
      <w:spacing w:after="0" w:line="240" w:lineRule="auto"/>
      <w:ind w:left="-576"/>
    </w:pPr>
    <w:r>
      <w:rPr>
        <w:noProof/>
      </w:rPr>
      <w:drawing>
        <wp:inline distT="0" distB="0" distL="0" distR="0" wp14:anchorId="3762F7F1" wp14:editId="6ACE9B29">
          <wp:extent cx="1311910" cy="3898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11910" cy="389890"/>
                  </a:xfrm>
                  <a:prstGeom prst="rect">
                    <a:avLst/>
                  </a:prstGeom>
                  <a:ln/>
                </pic:spPr>
              </pic:pic>
            </a:graphicData>
          </a:graphic>
        </wp:inline>
      </w:drawing>
    </w:r>
    <w:r>
      <w:tab/>
    </w:r>
    <w:r>
      <w:tab/>
      <w:t xml:space="preserve">           </w:t>
    </w:r>
    <w:r>
      <w:rPr>
        <w:noProof/>
      </w:rPr>
      <mc:AlternateContent>
        <mc:Choice Requires="wps">
          <w:drawing>
            <wp:anchor distT="0" distB="0" distL="114300" distR="114300" simplePos="0" relativeHeight="251658240" behindDoc="0" locked="0" layoutInCell="1" hidden="0" allowOverlap="1" wp14:anchorId="13236018" wp14:editId="4F2A3749">
              <wp:simplePos x="0" y="0"/>
              <wp:positionH relativeFrom="margin">
                <wp:posOffset>2882900</wp:posOffset>
              </wp:positionH>
              <wp:positionV relativeFrom="paragraph">
                <wp:posOffset>-63499</wp:posOffset>
              </wp:positionV>
              <wp:extent cx="3441700" cy="850900"/>
              <wp:effectExtent l="0" t="0" r="0" b="0"/>
              <wp:wrapNone/>
              <wp:docPr id="2" name="Rectangle 2"/>
              <wp:cNvGraphicFramePr/>
              <a:graphic xmlns:a="http://schemas.openxmlformats.org/drawingml/2006/main">
                <a:graphicData uri="http://schemas.microsoft.com/office/word/2010/wordprocessingShape">
                  <wps:wsp>
                    <wps:cNvSpPr/>
                    <wps:spPr>
                      <a:xfrm>
                        <a:off x="3626738" y="3355503"/>
                        <a:ext cx="3438525" cy="848995"/>
                      </a:xfrm>
                      <a:prstGeom prst="rect">
                        <a:avLst/>
                      </a:prstGeom>
                      <a:solidFill>
                        <a:srgbClr val="FFFFFF"/>
                      </a:solidFill>
                      <a:ln>
                        <a:noFill/>
                      </a:ln>
                    </wps:spPr>
                    <wps:txbx>
                      <w:txbxContent>
                        <w:p w14:paraId="36F64573" w14:textId="77777777" w:rsidR="00A16749" w:rsidRDefault="00A16749">
                          <w:pPr>
                            <w:pStyle w:val="Normal1"/>
                            <w:spacing w:after="0" w:line="240" w:lineRule="auto"/>
                            <w:jc w:val="right"/>
                            <w:textDirection w:val="btLr"/>
                          </w:pPr>
                          <w:r>
                            <w:rPr>
                              <w:rFonts w:ascii="Cambria" w:eastAsia="Cambria" w:hAnsi="Cambria" w:cs="Cambria"/>
                              <w:color w:val="808080"/>
                              <w:sz w:val="32"/>
                            </w:rPr>
                            <w:t xml:space="preserve">Policies, Programs </w:t>
                          </w:r>
                        </w:p>
                        <w:p w14:paraId="20D326FE" w14:textId="77777777" w:rsidR="00A16749" w:rsidRDefault="00A16749">
                          <w:pPr>
                            <w:pStyle w:val="Normal1"/>
                            <w:spacing w:after="0" w:line="240" w:lineRule="auto"/>
                            <w:jc w:val="right"/>
                            <w:textDirection w:val="btLr"/>
                          </w:pPr>
                          <w:r>
                            <w:rPr>
                              <w:rFonts w:ascii="Cambria" w:eastAsia="Cambria" w:hAnsi="Cambria" w:cs="Cambria"/>
                              <w:color w:val="808080"/>
                              <w:sz w:val="32"/>
                            </w:rPr>
                            <w:t>and Procedures</w:t>
                          </w:r>
                        </w:p>
                      </w:txbxContent>
                    </wps:txbx>
                    <wps:bodyPr wrap="square" lIns="91425" tIns="45700" rIns="91425" bIns="45700" anchor="t" anchorCtr="0"/>
                  </wps:wsp>
                </a:graphicData>
              </a:graphic>
            </wp:anchor>
          </w:drawing>
        </mc:Choice>
        <mc:Fallback>
          <w:pict>
            <v:rect w14:anchorId="13236018" id="Rectangle 2" o:spid="_x0000_s1026" style="position:absolute;left:0;text-align:left;margin-left:227pt;margin-top:-5pt;width:271pt;height:6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" stroked="f">
              <v:textbox inset="2.53958mm,1.2694mm,2.53958mm,1.2694mm">
                <w:txbxContent>
                  <w:p w14:paraId="36F64573" w14:textId="77777777" w:rsidR="00A16749" w:rsidRDefault="00A16749">
                    <w:pPr>
                      <w:pStyle w:val="Normal1"/>
                      <w:spacing w:after="0" w:line="240" w:lineRule="auto"/>
                      <w:jc w:val="right"/>
                      <w:textDirection w:val="btLr"/>
                    </w:pPr>
                    <w:r>
                      <w:rPr>
                        <w:rFonts w:ascii="Cambria" w:eastAsia="Cambria" w:hAnsi="Cambria" w:cs="Cambria"/>
                        <w:color w:val="808080"/>
                        <w:sz w:val="32"/>
                      </w:rPr>
                      <w:t xml:space="preserve">Policies, Programs </w:t>
                    </w:r>
                  </w:p>
                  <w:p w14:paraId="20D326FE" w14:textId="77777777" w:rsidR="00A16749" w:rsidRDefault="00A16749">
                    <w:pPr>
                      <w:pStyle w:val="Normal1"/>
                      <w:spacing w:after="0" w:line="240" w:lineRule="auto"/>
                      <w:jc w:val="right"/>
                      <w:textDirection w:val="btLr"/>
                    </w:pPr>
                    <w:r>
                      <w:rPr>
                        <w:rFonts w:ascii="Cambria" w:eastAsia="Cambria" w:hAnsi="Cambria" w:cs="Cambria"/>
                        <w:color w:val="808080"/>
                        <w:sz w:val="32"/>
                      </w:rPr>
                      <w:t>and Procedures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4324"/>
    <w:multiLevelType w:val="multilevel"/>
    <w:tmpl w:val="02667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D3366"/>
    <w:multiLevelType w:val="hybridMultilevel"/>
    <w:tmpl w:val="57D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8F4"/>
    <w:multiLevelType w:val="multilevel"/>
    <w:tmpl w:val="0A8A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B16DB"/>
    <w:multiLevelType w:val="multilevel"/>
    <w:tmpl w:val="1298C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D5477"/>
    <w:multiLevelType w:val="multilevel"/>
    <w:tmpl w:val="3BF0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6CF6B18"/>
    <w:multiLevelType w:val="multilevel"/>
    <w:tmpl w:val="AB7A0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762D50"/>
    <w:multiLevelType w:val="multilevel"/>
    <w:tmpl w:val="1D163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425E25"/>
    <w:multiLevelType w:val="multilevel"/>
    <w:tmpl w:val="0E427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5E6D9D"/>
    <w:multiLevelType w:val="multilevel"/>
    <w:tmpl w:val="F9889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F63455"/>
    <w:multiLevelType w:val="multilevel"/>
    <w:tmpl w:val="D322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2381A"/>
    <w:multiLevelType w:val="hybridMultilevel"/>
    <w:tmpl w:val="151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77D7D"/>
    <w:multiLevelType w:val="multilevel"/>
    <w:tmpl w:val="E5A0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0B5EE1"/>
    <w:multiLevelType w:val="multilevel"/>
    <w:tmpl w:val="45F67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C039D7"/>
    <w:multiLevelType w:val="multilevel"/>
    <w:tmpl w:val="6E621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D67AC6"/>
    <w:multiLevelType w:val="multilevel"/>
    <w:tmpl w:val="B0262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8C1128"/>
    <w:multiLevelType w:val="multilevel"/>
    <w:tmpl w:val="CE04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E95EC6"/>
    <w:multiLevelType w:val="multilevel"/>
    <w:tmpl w:val="4FB4451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FE7D66"/>
    <w:multiLevelType w:val="multilevel"/>
    <w:tmpl w:val="26002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1"/>
  </w:num>
  <w:num w:numId="3">
    <w:abstractNumId w:val="22"/>
  </w:num>
  <w:num w:numId="4">
    <w:abstractNumId w:val="8"/>
  </w:num>
  <w:num w:numId="5">
    <w:abstractNumId w:val="6"/>
  </w:num>
  <w:num w:numId="6">
    <w:abstractNumId w:val="9"/>
  </w:num>
  <w:num w:numId="7">
    <w:abstractNumId w:val="17"/>
  </w:num>
  <w:num w:numId="8">
    <w:abstractNumId w:val="11"/>
  </w:num>
  <w:num w:numId="9">
    <w:abstractNumId w:val="20"/>
  </w:num>
  <w:num w:numId="10">
    <w:abstractNumId w:val="5"/>
  </w:num>
  <w:num w:numId="11">
    <w:abstractNumId w:val="16"/>
  </w:num>
  <w:num w:numId="12">
    <w:abstractNumId w:val="18"/>
  </w:num>
  <w:num w:numId="13">
    <w:abstractNumId w:val="3"/>
  </w:num>
  <w:num w:numId="14">
    <w:abstractNumId w:val="15"/>
  </w:num>
  <w:num w:numId="15">
    <w:abstractNumId w:val="10"/>
  </w:num>
  <w:num w:numId="16">
    <w:abstractNumId w:val="12"/>
  </w:num>
  <w:num w:numId="17">
    <w:abstractNumId w:val="7"/>
  </w:num>
  <w:num w:numId="18">
    <w:abstractNumId w:val="13"/>
  </w:num>
  <w:num w:numId="19">
    <w:abstractNumId w:val="2"/>
  </w:num>
  <w:num w:numId="20">
    <w:abstractNumId w:val="19"/>
  </w:num>
  <w:num w:numId="21">
    <w:abstractNumId w:val="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7CCD"/>
    <w:rsid w:val="000A4B09"/>
    <w:rsid w:val="001C328A"/>
    <w:rsid w:val="003F4E91"/>
    <w:rsid w:val="005402B0"/>
    <w:rsid w:val="006856AF"/>
    <w:rsid w:val="00777CCD"/>
    <w:rsid w:val="007D4F02"/>
    <w:rsid w:val="00A16749"/>
    <w:rsid w:val="00A34838"/>
    <w:rsid w:val="00B57F6D"/>
    <w:rsid w:val="00B66128"/>
    <w:rsid w:val="00C6095D"/>
    <w:rsid w:val="00C9204E"/>
    <w:rsid w:val="00CF691E"/>
    <w:rsid w:val="00DF3032"/>
    <w:rsid w:val="00F3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49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4B5"/>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300"/>
    </w:pPr>
    <w:rPr>
      <w:color w:val="17365D"/>
      <w:sz w:val="52"/>
      <w:szCs w:val="52"/>
    </w:rPr>
  </w:style>
  <w:style w:type="paragraph" w:styleId="Subtitle">
    <w:name w:val="Subtitle"/>
    <w:basedOn w:val="Normal1"/>
    <w:next w:val="Normal1"/>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30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32"/>
    <w:rPr>
      <w:rFonts w:ascii="Lucida Grande" w:hAnsi="Lucida Grande" w:cs="Lucida Grande"/>
      <w:sz w:val="18"/>
      <w:szCs w:val="18"/>
    </w:rPr>
  </w:style>
  <w:style w:type="paragraph" w:customStyle="1" w:styleId="Default">
    <w:name w:val="Default"/>
    <w:rsid w:val="00DF30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Hoefler Text" w:eastAsiaTheme="minorHAnsi" w:hAnsi="Hoefler Text" w:cs="Hoefler Text"/>
      <w:sz w:val="24"/>
      <w:szCs w:val="24"/>
    </w:rPr>
  </w:style>
  <w:style w:type="character" w:styleId="Hyperlink">
    <w:name w:val="Hyperlink"/>
    <w:basedOn w:val="DefaultParagraphFont"/>
    <w:uiPriority w:val="99"/>
    <w:unhideWhenUsed/>
    <w:rsid w:val="00DF3032"/>
    <w:rPr>
      <w:color w:val="0000FF" w:themeColor="hyperlink"/>
      <w:u w:val="single"/>
    </w:rPr>
  </w:style>
  <w:style w:type="paragraph" w:styleId="ListParagraph">
    <w:name w:val="List Paragraph"/>
    <w:basedOn w:val="Normal"/>
    <w:uiPriority w:val="34"/>
    <w:qFormat/>
    <w:rsid w:val="00DF303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A167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6749"/>
  </w:style>
  <w:style w:type="paragraph" w:styleId="Footer">
    <w:name w:val="footer"/>
    <w:basedOn w:val="Normal"/>
    <w:link w:val="FooterChar"/>
    <w:uiPriority w:val="99"/>
    <w:unhideWhenUsed/>
    <w:rsid w:val="00A167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sds.com" TargetMode="External"/><Relationship Id="rId13" Type="http://schemas.openxmlformats.org/officeDocument/2006/relationships/footer" Target="footer2.xml"/><Relationship Id="rId18" Type="http://schemas.openxmlformats.org/officeDocument/2006/relationships/hyperlink" Target="http://sydney.edu.au/science/molecular_bioscience/ohs/documents/sop/SOP%20SMB_050.1_Using%20a%20rotory%20evaporator%20DF%20NS%20061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hs.uconn.edu/Chemical/?p=training" TargetMode="External"/><Relationship Id="rId12" Type="http://schemas.openxmlformats.org/officeDocument/2006/relationships/header" Target="header2.xml"/><Relationship Id="rId17" Type="http://schemas.openxmlformats.org/officeDocument/2006/relationships/hyperlink" Target="http://ehs.uconn.edu/Chemical/ChemWasteDisp.pdf" TargetMode="External"/><Relationship Id="rId2" Type="http://schemas.openxmlformats.org/officeDocument/2006/relationships/styles" Target="styles.xml"/><Relationship Id="rId16" Type="http://schemas.openxmlformats.org/officeDocument/2006/relationships/hyperlink" Target="http://ehs.uconn.edu/Regulated%20Waste%20Management/index.php" TargetMode="External"/><Relationship Id="rId20" Type="http://schemas.openxmlformats.org/officeDocument/2006/relationships/hyperlink" Target="http://policy.uconn.edu/2011/05/17/employee-code-of-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0" Type="http://schemas.openxmlformats.org/officeDocument/2006/relationships/header" Target="header1.xml"/><Relationship Id="rId19" Type="http://schemas.openxmlformats.org/officeDocument/2006/relationships/hyperlink" Target="http://policy.uconn.edu/2011/05/19/health-and-safety-policy/" TargetMode="External"/><Relationship Id="rId4" Type="http://schemas.openxmlformats.org/officeDocument/2006/relationships/webSettings" Target="webSettings.xml"/><Relationship Id="rId9" Type="http://schemas.openxmlformats.org/officeDocument/2006/relationships/hyperlink" Target="http://policy.uconn.edu/2012/07/30/working-alone-policy/" TargetMode="External"/><Relationship Id="rId14"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Brückner</cp:lastModifiedBy>
  <cp:revision>6</cp:revision>
  <cp:lastPrinted>2017-11-27T16:38:00Z</cp:lastPrinted>
  <dcterms:created xsi:type="dcterms:W3CDTF">2017-11-26T04:28:00Z</dcterms:created>
  <dcterms:modified xsi:type="dcterms:W3CDTF">2018-04-18T00:39:00Z</dcterms:modified>
</cp:coreProperties>
</file>