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8"/>
        <w:gridCol w:w="5236"/>
      </w:tblGrid>
      <w:tr w:rsidR="00C85102" w:rsidRPr="0061516E" w14:paraId="27925A46" w14:textId="77777777" w:rsidTr="000520B6">
        <w:trPr>
          <w:trHeight w:val="720"/>
          <w:jc w:val="center"/>
        </w:trPr>
        <w:tc>
          <w:tcPr>
            <w:tcW w:w="10434" w:type="dxa"/>
            <w:gridSpan w:val="2"/>
            <w:shd w:val="clear" w:color="auto" w:fill="10253F"/>
            <w:vAlign w:val="center"/>
          </w:tcPr>
          <w:p w14:paraId="1E89CD36" w14:textId="0E491386" w:rsidR="00C85102" w:rsidRPr="0061516E" w:rsidRDefault="00510912" w:rsidP="00510912">
            <w:pPr>
              <w:widowControl w:val="0"/>
              <w:spacing w:before="80" w:after="80"/>
              <w:jc w:val="center"/>
              <w:rPr>
                <w:rFonts w:asciiTheme="minorHAnsi" w:eastAsia="Cambria" w:hAnsiTheme="minorHAnsi" w:cs="Aparajita"/>
                <w:b/>
                <w:snapToGrid w:val="0"/>
                <w:color w:val="FFFFFF"/>
                <w:sz w:val="36"/>
                <w:szCs w:val="36"/>
              </w:rPr>
            </w:pPr>
            <w:r w:rsidRPr="0061516E">
              <w:rPr>
                <w:rFonts w:asciiTheme="minorHAnsi" w:eastAsia="Times New Roman" w:hAnsiTheme="minorHAnsi" w:cs="Aparajita"/>
                <w:b/>
                <w:snapToGrid w:val="0"/>
                <w:sz w:val="36"/>
                <w:szCs w:val="36"/>
              </w:rPr>
              <w:t xml:space="preserve">Brueckner </w:t>
            </w:r>
            <w:r w:rsidR="00C85102" w:rsidRPr="0061516E">
              <w:rPr>
                <w:rFonts w:asciiTheme="minorHAnsi" w:eastAsia="Times New Roman" w:hAnsiTheme="minorHAnsi" w:cs="Aparajita"/>
                <w:b/>
                <w:snapToGrid w:val="0"/>
                <w:sz w:val="36"/>
                <w:szCs w:val="36"/>
              </w:rPr>
              <w:t xml:space="preserve">Lab-Specific </w:t>
            </w:r>
            <w:r w:rsidR="00C85102" w:rsidRPr="0061516E">
              <w:rPr>
                <w:rFonts w:asciiTheme="minorHAnsi" w:eastAsia="Times New Roman" w:hAnsiTheme="minorHAnsi" w:cs="Aparajita"/>
                <w:b/>
                <w:snapToGrid w:val="0"/>
                <w:sz w:val="36"/>
                <w:szCs w:val="36"/>
              </w:rPr>
              <w:br w:type="page"/>
            </w:r>
            <w:r w:rsidR="00C85102" w:rsidRPr="0061516E">
              <w:rPr>
                <w:rFonts w:asciiTheme="minorHAnsi" w:eastAsia="Cambria" w:hAnsiTheme="minorHAnsi" w:cs="Aparajita"/>
                <w:b/>
                <w:snapToGrid w:val="0"/>
                <w:color w:val="FFFFFF"/>
                <w:sz w:val="36"/>
                <w:szCs w:val="36"/>
              </w:rPr>
              <w:t xml:space="preserve">Standard Operating Procedure </w:t>
            </w:r>
            <w:r w:rsidR="00AC441D" w:rsidRPr="0061516E">
              <w:rPr>
                <w:rFonts w:asciiTheme="minorHAnsi" w:eastAsia="Cambria" w:hAnsiTheme="minorHAnsi" w:cs="Aparajita"/>
                <w:b/>
                <w:snapToGrid w:val="0"/>
                <w:color w:val="FFFFFF"/>
                <w:sz w:val="32"/>
                <w:szCs w:val="32"/>
              </w:rPr>
              <w:t>(LSOP)</w:t>
            </w:r>
            <w:r w:rsidR="00932766">
              <w:rPr>
                <w:rFonts w:asciiTheme="minorHAnsi" w:eastAsia="Cambria" w:hAnsiTheme="minorHAnsi" w:cs="Aparajita"/>
                <w:b/>
                <w:snapToGrid w:val="0"/>
                <w:color w:val="FFFFFF"/>
                <w:sz w:val="32"/>
                <w:szCs w:val="32"/>
              </w:rPr>
              <w:br/>
            </w:r>
            <w:r w:rsidR="00932766" w:rsidRPr="00932766">
              <w:rPr>
                <w:rFonts w:asciiTheme="minorHAnsi" w:eastAsia="Cambria" w:hAnsiTheme="minorHAnsi" w:cs="Aparajita"/>
                <w:b/>
                <w:snapToGrid w:val="0"/>
                <w:color w:val="FFFFFF"/>
                <w:sz w:val="32"/>
                <w:szCs w:val="32"/>
              </w:rPr>
              <w:t>Metal Hydrides for Reductions</w:t>
            </w:r>
            <w:r w:rsidR="00461004" w:rsidRPr="0061516E">
              <w:rPr>
                <w:rFonts w:asciiTheme="minorHAnsi" w:eastAsia="Cambria" w:hAnsiTheme="minorHAnsi" w:cs="Aparajita"/>
                <w:b/>
                <w:snapToGrid w:val="0"/>
                <w:color w:val="FFFFFF"/>
                <w:sz w:val="32"/>
                <w:szCs w:val="32"/>
              </w:rPr>
              <w:t xml:space="preserve"> </w:t>
            </w:r>
          </w:p>
        </w:tc>
      </w:tr>
      <w:tr w:rsidR="00C85102" w:rsidRPr="0061516E" w14:paraId="2B442B5B" w14:textId="77777777" w:rsidTr="000520B6">
        <w:trPr>
          <w:trHeight w:val="432"/>
          <w:jc w:val="center"/>
        </w:trPr>
        <w:tc>
          <w:tcPr>
            <w:tcW w:w="10434" w:type="dxa"/>
            <w:gridSpan w:val="2"/>
            <w:shd w:val="clear" w:color="auto" w:fill="FFFFFF" w:themeFill="background1"/>
            <w:vAlign w:val="center"/>
          </w:tcPr>
          <w:p w14:paraId="349DF81C" w14:textId="4BFC185A" w:rsidR="00C85102" w:rsidRPr="0061516E" w:rsidRDefault="00C85102" w:rsidP="00181E6C">
            <w:pPr>
              <w:widowControl w:val="0"/>
              <w:rPr>
                <w:rFonts w:asciiTheme="minorHAnsi" w:eastAsia="Times New Roman" w:hAnsiTheme="minorHAnsi" w:cs="Aparajita"/>
                <w:snapToGrid w:val="0"/>
              </w:rPr>
            </w:pPr>
            <w:r w:rsidRPr="0061516E">
              <w:rPr>
                <w:rFonts w:asciiTheme="minorHAnsi" w:eastAsia="Times New Roman" w:hAnsiTheme="minorHAnsi" w:cs="Aparajita"/>
                <w:b/>
                <w:snapToGrid w:val="0"/>
              </w:rPr>
              <w:t>Princ</w:t>
            </w:r>
            <w:r w:rsidR="00C06577" w:rsidRPr="0061516E">
              <w:rPr>
                <w:rFonts w:asciiTheme="minorHAnsi" w:eastAsia="Times New Roman" w:hAnsiTheme="minorHAnsi" w:cs="Aparajita"/>
                <w:b/>
                <w:snapToGrid w:val="0"/>
              </w:rPr>
              <w:t>ipal Investigator(PI)</w:t>
            </w:r>
            <w:r w:rsidRPr="0061516E">
              <w:rPr>
                <w:rFonts w:asciiTheme="minorHAnsi" w:eastAsia="Times New Roman" w:hAnsiTheme="minorHAnsi" w:cs="Aparajita"/>
                <w:b/>
                <w:snapToGrid w:val="0"/>
              </w:rPr>
              <w:t>:</w:t>
            </w:r>
            <w:r w:rsidR="00EB74D3" w:rsidRPr="0061516E">
              <w:rPr>
                <w:rFonts w:asciiTheme="minorHAnsi" w:eastAsia="Times New Roman" w:hAnsiTheme="minorHAnsi" w:cs="Aparajita"/>
                <w:snapToGrid w:val="0"/>
              </w:rPr>
              <w:t xml:space="preserve"> Christian Brü</w:t>
            </w:r>
            <w:r w:rsidR="00181E6C" w:rsidRPr="0061516E">
              <w:rPr>
                <w:rFonts w:asciiTheme="minorHAnsi" w:eastAsia="Times New Roman" w:hAnsiTheme="minorHAnsi" w:cs="Aparajita"/>
                <w:snapToGrid w:val="0"/>
              </w:rPr>
              <w:t>ckner</w:t>
            </w:r>
          </w:p>
        </w:tc>
      </w:tr>
      <w:tr w:rsidR="00C85102" w:rsidRPr="0061516E" w14:paraId="0053FB9C" w14:textId="77777777" w:rsidTr="000520B6">
        <w:trPr>
          <w:trHeight w:val="432"/>
          <w:jc w:val="center"/>
        </w:trPr>
        <w:tc>
          <w:tcPr>
            <w:tcW w:w="5198" w:type="dxa"/>
            <w:shd w:val="clear" w:color="auto" w:fill="FFFFFF" w:themeFill="background1"/>
            <w:vAlign w:val="center"/>
          </w:tcPr>
          <w:p w14:paraId="71400C16" w14:textId="77777777" w:rsidR="00C85102" w:rsidRPr="0061516E" w:rsidRDefault="00C85102" w:rsidP="00C85102">
            <w:pPr>
              <w:widowControl w:val="0"/>
              <w:rPr>
                <w:rFonts w:asciiTheme="minorHAnsi" w:eastAsia="Times New Roman" w:hAnsiTheme="minorHAnsi" w:cs="Aparajita"/>
                <w:snapToGrid w:val="0"/>
              </w:rPr>
            </w:pPr>
            <w:r w:rsidRPr="0061516E">
              <w:rPr>
                <w:rFonts w:asciiTheme="minorHAnsi" w:eastAsia="Times New Roman" w:hAnsiTheme="minorHAnsi" w:cs="Aparajita"/>
                <w:b/>
                <w:snapToGrid w:val="0"/>
              </w:rPr>
              <w:t>Building:</w:t>
            </w:r>
            <w:r w:rsidR="00181E6C" w:rsidRPr="0061516E">
              <w:rPr>
                <w:rFonts w:asciiTheme="minorHAnsi" w:eastAsia="Times New Roman" w:hAnsiTheme="minorHAnsi" w:cs="Aparajita"/>
                <w:snapToGrid w:val="0"/>
              </w:rPr>
              <w:t xml:space="preserve"> Chemistry</w:t>
            </w:r>
          </w:p>
        </w:tc>
        <w:tc>
          <w:tcPr>
            <w:tcW w:w="5236" w:type="dxa"/>
            <w:shd w:val="clear" w:color="auto" w:fill="FFFFFF" w:themeFill="background1"/>
            <w:vAlign w:val="center"/>
          </w:tcPr>
          <w:p w14:paraId="411C9384" w14:textId="77777777" w:rsidR="00C85102" w:rsidRPr="0061516E" w:rsidRDefault="00C85102" w:rsidP="00C85102">
            <w:pPr>
              <w:widowControl w:val="0"/>
              <w:rPr>
                <w:rFonts w:asciiTheme="minorHAnsi" w:eastAsia="Times New Roman" w:hAnsiTheme="minorHAnsi" w:cs="Aparajita"/>
                <w:snapToGrid w:val="0"/>
              </w:rPr>
            </w:pPr>
            <w:r w:rsidRPr="0061516E">
              <w:rPr>
                <w:rFonts w:asciiTheme="minorHAnsi" w:eastAsia="Times New Roman" w:hAnsiTheme="minorHAnsi" w:cs="Aparajita"/>
                <w:b/>
                <w:snapToGrid w:val="0"/>
              </w:rPr>
              <w:t xml:space="preserve">Lab(s) Covered by </w:t>
            </w:r>
            <w:r w:rsidR="00CD38FE" w:rsidRPr="0061516E">
              <w:rPr>
                <w:rFonts w:asciiTheme="minorHAnsi" w:eastAsia="Times New Roman" w:hAnsiTheme="minorHAnsi" w:cs="Aparajita"/>
                <w:b/>
                <w:snapToGrid w:val="0"/>
              </w:rPr>
              <w:t>L</w:t>
            </w:r>
            <w:r w:rsidRPr="0061516E">
              <w:rPr>
                <w:rFonts w:asciiTheme="minorHAnsi" w:eastAsia="Times New Roman" w:hAnsiTheme="minorHAnsi" w:cs="Aparajita"/>
                <w:b/>
                <w:snapToGrid w:val="0"/>
              </w:rPr>
              <w:t>SOP:</w:t>
            </w:r>
            <w:r w:rsidR="00181E6C" w:rsidRPr="0061516E">
              <w:rPr>
                <w:rFonts w:asciiTheme="minorHAnsi" w:eastAsia="Times New Roman" w:hAnsiTheme="minorHAnsi" w:cs="Aparajita"/>
                <w:snapToGrid w:val="0"/>
              </w:rPr>
              <w:t xml:space="preserve"> R413/R415</w:t>
            </w:r>
          </w:p>
        </w:tc>
      </w:tr>
      <w:tr w:rsidR="001711BA" w:rsidRPr="0061516E" w14:paraId="7D89EA43" w14:textId="77777777" w:rsidTr="000520B6">
        <w:trPr>
          <w:trHeight w:val="432"/>
          <w:jc w:val="center"/>
        </w:trPr>
        <w:tc>
          <w:tcPr>
            <w:tcW w:w="5198" w:type="dxa"/>
            <w:shd w:val="clear" w:color="auto" w:fill="FFFFFF" w:themeFill="background1"/>
            <w:vAlign w:val="center"/>
          </w:tcPr>
          <w:p w14:paraId="30E83C2E" w14:textId="77777777" w:rsidR="001711BA" w:rsidRPr="0061516E" w:rsidRDefault="001711BA" w:rsidP="00C85102">
            <w:pPr>
              <w:widowControl w:val="0"/>
              <w:rPr>
                <w:rFonts w:asciiTheme="minorHAnsi" w:eastAsia="Times New Roman" w:hAnsiTheme="minorHAnsi" w:cs="Aparajita"/>
                <w:snapToGrid w:val="0"/>
              </w:rPr>
            </w:pPr>
            <w:r w:rsidRPr="0061516E">
              <w:rPr>
                <w:rFonts w:asciiTheme="minorHAnsi" w:eastAsia="Times New Roman" w:hAnsiTheme="minorHAnsi" w:cs="Aparajita"/>
                <w:b/>
                <w:snapToGrid w:val="0"/>
              </w:rPr>
              <w:t>Department:</w:t>
            </w:r>
            <w:r w:rsidR="00181E6C" w:rsidRPr="0061516E">
              <w:rPr>
                <w:rFonts w:asciiTheme="minorHAnsi" w:eastAsia="Times New Roman" w:hAnsiTheme="minorHAnsi" w:cs="Aparajita"/>
                <w:snapToGrid w:val="0"/>
              </w:rPr>
              <w:t xml:space="preserve"> Chemistry</w:t>
            </w:r>
          </w:p>
        </w:tc>
        <w:tc>
          <w:tcPr>
            <w:tcW w:w="5236" w:type="dxa"/>
            <w:shd w:val="clear" w:color="auto" w:fill="FFFFFF" w:themeFill="background1"/>
            <w:vAlign w:val="center"/>
          </w:tcPr>
          <w:p w14:paraId="58598681" w14:textId="77777777" w:rsidR="001711BA" w:rsidRPr="0061516E" w:rsidRDefault="001711BA" w:rsidP="00C85102">
            <w:pPr>
              <w:widowControl w:val="0"/>
              <w:rPr>
                <w:rFonts w:asciiTheme="minorHAnsi" w:eastAsia="Times New Roman" w:hAnsiTheme="minorHAnsi" w:cs="Aparajita"/>
                <w:snapToGrid w:val="0"/>
              </w:rPr>
            </w:pPr>
            <w:r w:rsidRPr="0061516E">
              <w:rPr>
                <w:rFonts w:asciiTheme="minorHAnsi" w:eastAsia="Times New Roman" w:hAnsiTheme="minorHAnsi" w:cs="Aparajita"/>
                <w:b/>
                <w:snapToGrid w:val="0"/>
              </w:rPr>
              <w:t>Lab Phone Number(s):</w:t>
            </w:r>
            <w:r w:rsidR="00181E6C" w:rsidRPr="0061516E">
              <w:rPr>
                <w:rFonts w:asciiTheme="minorHAnsi" w:eastAsia="Times New Roman" w:hAnsiTheme="minorHAnsi" w:cs="Aparajita"/>
                <w:snapToGrid w:val="0"/>
              </w:rPr>
              <w:t xml:space="preserve"> 6-6596/6-6598</w:t>
            </w:r>
          </w:p>
        </w:tc>
      </w:tr>
      <w:tr w:rsidR="00842745" w:rsidRPr="0061516E" w14:paraId="042C9955" w14:textId="77777777" w:rsidTr="000520B6">
        <w:trPr>
          <w:trHeight w:val="432"/>
          <w:jc w:val="center"/>
        </w:trPr>
        <w:tc>
          <w:tcPr>
            <w:tcW w:w="10434" w:type="dxa"/>
            <w:gridSpan w:val="2"/>
            <w:shd w:val="clear" w:color="auto" w:fill="000E2F"/>
            <w:vAlign w:val="center"/>
          </w:tcPr>
          <w:p w14:paraId="2B9EBFB0" w14:textId="77777777" w:rsidR="00842745" w:rsidRPr="0061516E" w:rsidRDefault="00EA36FA" w:rsidP="000570F1">
            <w:pPr>
              <w:pStyle w:val="Heading1"/>
              <w:spacing w:before="80" w:after="80"/>
              <w:rPr>
                <w:rFonts w:asciiTheme="minorHAnsi" w:hAnsiTheme="minorHAnsi"/>
                <w:b/>
                <w:sz w:val="24"/>
                <w:szCs w:val="24"/>
              </w:rPr>
            </w:pPr>
            <w:r w:rsidRPr="0061516E">
              <w:rPr>
                <w:rFonts w:asciiTheme="minorHAnsi" w:hAnsiTheme="minorHAnsi"/>
                <w:b/>
                <w:color w:val="FFFFFF" w:themeColor="background1"/>
                <w:sz w:val="24"/>
                <w:szCs w:val="24"/>
              </w:rPr>
              <w:t xml:space="preserve">SECTION 1 – </w:t>
            </w:r>
            <w:r w:rsidR="00174A02" w:rsidRPr="0061516E">
              <w:rPr>
                <w:rFonts w:asciiTheme="minorHAnsi" w:hAnsiTheme="minorHAnsi"/>
                <w:b/>
                <w:color w:val="FFFFFF" w:themeColor="background1"/>
                <w:sz w:val="24"/>
                <w:szCs w:val="24"/>
              </w:rPr>
              <w:t>HAZARDOUS CHEMICAL</w:t>
            </w:r>
            <w:r w:rsidR="00427210" w:rsidRPr="0061516E">
              <w:rPr>
                <w:rFonts w:asciiTheme="minorHAnsi" w:hAnsiTheme="minorHAnsi"/>
                <w:b/>
                <w:color w:val="FFFFFF" w:themeColor="background1"/>
                <w:sz w:val="24"/>
                <w:szCs w:val="24"/>
              </w:rPr>
              <w:t>(</w:t>
            </w:r>
            <w:r w:rsidR="00174A02" w:rsidRPr="0061516E">
              <w:rPr>
                <w:rFonts w:asciiTheme="minorHAnsi" w:hAnsiTheme="minorHAnsi"/>
                <w:b/>
                <w:color w:val="FFFFFF" w:themeColor="background1"/>
                <w:sz w:val="24"/>
                <w:szCs w:val="24"/>
              </w:rPr>
              <w:t>S</w:t>
            </w:r>
            <w:r w:rsidR="00427210" w:rsidRPr="0061516E">
              <w:rPr>
                <w:rFonts w:asciiTheme="minorHAnsi" w:hAnsiTheme="minorHAnsi"/>
                <w:b/>
                <w:color w:val="FFFFFF" w:themeColor="background1"/>
                <w:sz w:val="24"/>
                <w:szCs w:val="24"/>
              </w:rPr>
              <w:t>)</w:t>
            </w:r>
            <w:r w:rsidRPr="0061516E">
              <w:rPr>
                <w:rFonts w:asciiTheme="minorHAnsi" w:hAnsiTheme="minorHAnsi"/>
                <w:b/>
                <w:color w:val="FFFFFF" w:themeColor="background1"/>
                <w:sz w:val="24"/>
                <w:szCs w:val="24"/>
              </w:rPr>
              <w:t xml:space="preserve"> or PROCESS</w:t>
            </w:r>
            <w:r w:rsidR="00427210" w:rsidRPr="0061516E">
              <w:rPr>
                <w:rFonts w:asciiTheme="minorHAnsi" w:hAnsiTheme="minorHAnsi"/>
                <w:b/>
                <w:color w:val="FFFFFF" w:themeColor="background1"/>
                <w:sz w:val="24"/>
                <w:szCs w:val="24"/>
              </w:rPr>
              <w:t xml:space="preserve">(ES) and </w:t>
            </w:r>
            <w:r w:rsidR="000570F1" w:rsidRPr="0061516E">
              <w:rPr>
                <w:rFonts w:asciiTheme="minorHAnsi" w:hAnsiTheme="minorHAnsi"/>
                <w:b/>
                <w:color w:val="FFFFFF" w:themeColor="background1"/>
                <w:sz w:val="24"/>
                <w:szCs w:val="24"/>
              </w:rPr>
              <w:t>HAZARDS INVOLVED</w:t>
            </w:r>
          </w:p>
        </w:tc>
      </w:tr>
      <w:tr w:rsidR="00B00000" w:rsidRPr="0061516E" w14:paraId="176C8927" w14:textId="77777777" w:rsidTr="00932766">
        <w:trPr>
          <w:trHeight w:val="2285"/>
          <w:jc w:val="center"/>
        </w:trPr>
        <w:tc>
          <w:tcPr>
            <w:tcW w:w="10434" w:type="dxa"/>
            <w:gridSpan w:val="2"/>
            <w:shd w:val="clear" w:color="auto" w:fill="FFFFFF" w:themeFill="background1"/>
          </w:tcPr>
          <w:p w14:paraId="6EF30217" w14:textId="49132CFE" w:rsidR="007B5D1C" w:rsidRPr="00006035" w:rsidRDefault="007B5D1C" w:rsidP="00006035">
            <w:pPr>
              <w:pStyle w:val="ListParagraph"/>
              <w:widowControl w:val="0"/>
              <w:numPr>
                <w:ilvl w:val="0"/>
                <w:numId w:val="31"/>
              </w:numPr>
              <w:rPr>
                <w:rFonts w:cs="Tahoma"/>
                <w:shd w:val="clear" w:color="auto" w:fill="FFFFFF"/>
              </w:rPr>
            </w:pPr>
            <w:r w:rsidRPr="00006035">
              <w:rPr>
                <w:color w:val="000000" w:themeColor="text1"/>
              </w:rPr>
              <w:t>Di-isobutyl Aluminum Hydride (DIBAL-H)</w:t>
            </w:r>
            <w:r w:rsidR="00B75DBE" w:rsidRPr="00006035">
              <w:rPr>
                <w:color w:val="000000" w:themeColor="text1"/>
              </w:rPr>
              <w:t xml:space="preserve"> </w:t>
            </w:r>
            <w:r w:rsidR="00564E38" w:rsidRPr="00006035">
              <w:rPr>
                <w:color w:val="000000" w:themeColor="text1"/>
              </w:rPr>
              <w:t>(typically as 1M solution in he</w:t>
            </w:r>
            <w:r w:rsidR="00B75DBE" w:rsidRPr="00006035">
              <w:rPr>
                <w:color w:val="000000" w:themeColor="text1"/>
              </w:rPr>
              <w:t>xane</w:t>
            </w:r>
            <w:r w:rsidR="00932766" w:rsidRPr="00006035">
              <w:rPr>
                <w:color w:val="000000" w:themeColor="text1"/>
              </w:rPr>
              <w:t xml:space="preserve"> in </w:t>
            </w:r>
            <w:proofErr w:type="spellStart"/>
            <w:r w:rsidR="00932766" w:rsidRPr="00006035">
              <w:rPr>
                <w:color w:val="000000" w:themeColor="text1"/>
              </w:rPr>
              <w:t>SureSeal®</w:t>
            </w:r>
            <w:r w:rsidR="00564E38" w:rsidRPr="00006035">
              <w:rPr>
                <w:color w:val="000000" w:themeColor="text1"/>
              </w:rPr>
              <w:t>bottles</w:t>
            </w:r>
            <w:proofErr w:type="spellEnd"/>
            <w:r w:rsidR="00B75DBE" w:rsidRPr="00006035">
              <w:rPr>
                <w:color w:val="000000" w:themeColor="text1"/>
              </w:rPr>
              <w:t>)</w:t>
            </w:r>
          </w:p>
          <w:p w14:paraId="1C5D0800" w14:textId="032FA6A0" w:rsidR="00B75DBE" w:rsidRPr="00006035" w:rsidRDefault="00B75DBE" w:rsidP="00006035">
            <w:pPr>
              <w:pStyle w:val="ListParagraph"/>
              <w:widowControl w:val="0"/>
              <w:numPr>
                <w:ilvl w:val="0"/>
                <w:numId w:val="31"/>
              </w:numPr>
              <w:rPr>
                <w:rFonts w:cs="Tahoma"/>
                <w:shd w:val="clear" w:color="auto" w:fill="FFFFFF"/>
              </w:rPr>
            </w:pPr>
            <w:r w:rsidRPr="00006035">
              <w:rPr>
                <w:color w:val="000000" w:themeColor="text1"/>
              </w:rPr>
              <w:t>Lithium Aluminum Hydride (LAH)</w:t>
            </w:r>
            <w:r w:rsidR="00932766" w:rsidRPr="00006035">
              <w:rPr>
                <w:color w:val="000000" w:themeColor="text1"/>
              </w:rPr>
              <w:t xml:space="preserve"> (typically </w:t>
            </w:r>
            <w:r w:rsidR="00564E38" w:rsidRPr="00006035">
              <w:rPr>
                <w:color w:val="000000" w:themeColor="text1"/>
              </w:rPr>
              <w:t>a grey solid)</w:t>
            </w:r>
          </w:p>
          <w:p w14:paraId="3249F856" w14:textId="591A70E0" w:rsidR="00B75DBE" w:rsidRPr="00006035" w:rsidRDefault="00B75DBE" w:rsidP="00006035">
            <w:pPr>
              <w:pStyle w:val="ListParagraph"/>
              <w:widowControl w:val="0"/>
              <w:numPr>
                <w:ilvl w:val="0"/>
                <w:numId w:val="31"/>
              </w:numPr>
              <w:rPr>
                <w:rFonts w:cs="Tahoma"/>
                <w:shd w:val="clear" w:color="auto" w:fill="FFFFFF"/>
              </w:rPr>
            </w:pPr>
            <w:r w:rsidRPr="00006035">
              <w:rPr>
                <w:color w:val="000000" w:themeColor="text1"/>
              </w:rPr>
              <w:t>Sodium Borohydride (NaBH</w:t>
            </w:r>
            <w:r w:rsidRPr="00006035">
              <w:rPr>
                <w:color w:val="000000" w:themeColor="text1"/>
                <w:vertAlign w:val="subscript"/>
              </w:rPr>
              <w:t>4</w:t>
            </w:r>
            <w:r w:rsidRPr="00006035">
              <w:rPr>
                <w:color w:val="000000" w:themeColor="text1"/>
              </w:rPr>
              <w:t>)</w:t>
            </w:r>
            <w:r w:rsidR="00564E38" w:rsidRPr="00006035">
              <w:rPr>
                <w:color w:val="000000" w:themeColor="text1"/>
              </w:rPr>
              <w:t xml:space="preserve"> (typically a white solid)</w:t>
            </w:r>
          </w:p>
          <w:p w14:paraId="0AB58BD3" w14:textId="6A9C0E73" w:rsidR="007B5D1C" w:rsidRPr="00006035" w:rsidRDefault="007B5D1C" w:rsidP="00006035">
            <w:pPr>
              <w:pStyle w:val="ListParagraph"/>
              <w:widowControl w:val="0"/>
              <w:numPr>
                <w:ilvl w:val="0"/>
                <w:numId w:val="32"/>
              </w:numPr>
              <w:rPr>
                <w:rStyle w:val="Emphasis"/>
                <w:rFonts w:cs="Tahoma"/>
                <w:i w:val="0"/>
                <w:color w:val="000000"/>
                <w:shd w:val="clear" w:color="auto" w:fill="FFFFFF"/>
              </w:rPr>
            </w:pPr>
            <w:r w:rsidRPr="00006035">
              <w:rPr>
                <w:rStyle w:val="Emphasis"/>
                <w:rFonts w:cs="Tahoma"/>
                <w:i w:val="0"/>
                <w:color w:val="000000"/>
                <w:shd w:val="clear" w:color="auto" w:fill="FFFFFF"/>
              </w:rPr>
              <w:t>Flammable</w:t>
            </w:r>
            <w:r w:rsidR="00564E38" w:rsidRPr="00006035">
              <w:rPr>
                <w:rStyle w:val="Emphasis"/>
                <w:rFonts w:cs="Tahoma"/>
                <w:i w:val="0"/>
                <w:color w:val="000000"/>
                <w:shd w:val="clear" w:color="auto" w:fill="FFFFFF"/>
              </w:rPr>
              <w:t xml:space="preserve"> – particularly when in organic solutions</w:t>
            </w:r>
          </w:p>
          <w:p w14:paraId="0D1FD120" w14:textId="6419407C" w:rsidR="00B00000" w:rsidRPr="00006035" w:rsidRDefault="007B5D1C" w:rsidP="00006035">
            <w:pPr>
              <w:pStyle w:val="ListParagraph"/>
              <w:widowControl w:val="0"/>
              <w:numPr>
                <w:ilvl w:val="0"/>
                <w:numId w:val="32"/>
              </w:numPr>
              <w:spacing w:before="80" w:after="80"/>
              <w:rPr>
                <w:rFonts w:cs="Tahoma"/>
                <w:color w:val="000000"/>
                <w:shd w:val="clear" w:color="auto" w:fill="FFFFFF"/>
              </w:rPr>
            </w:pPr>
            <w:r w:rsidRPr="00006035">
              <w:rPr>
                <w:rFonts w:cs="Tahoma"/>
                <w:color w:val="000000"/>
                <w:shd w:val="clear" w:color="auto" w:fill="FFFFFF"/>
              </w:rPr>
              <w:t>Corrosive. Skin corrosion/burns. May cause ocular damage</w:t>
            </w:r>
            <w:r w:rsidR="00B75DBE" w:rsidRPr="00006035">
              <w:rPr>
                <w:rFonts w:cs="Tahoma"/>
                <w:color w:val="000000"/>
                <w:shd w:val="clear" w:color="auto" w:fill="FFFFFF"/>
              </w:rPr>
              <w:t>.</w:t>
            </w:r>
          </w:p>
          <w:p w14:paraId="4308F4A1" w14:textId="09E6C7D5" w:rsidR="007B5D1C" w:rsidRPr="00006035" w:rsidRDefault="007B5D1C" w:rsidP="00006035">
            <w:pPr>
              <w:pStyle w:val="ListParagraph"/>
              <w:numPr>
                <w:ilvl w:val="0"/>
                <w:numId w:val="32"/>
              </w:numPr>
              <w:rPr>
                <w:rStyle w:val="Emphasis"/>
                <w:rFonts w:cs="Tahoma"/>
                <w:i w:val="0"/>
                <w:color w:val="000000"/>
                <w:shd w:val="clear" w:color="auto" w:fill="FFFFFF"/>
              </w:rPr>
            </w:pPr>
            <w:r w:rsidRPr="00006035">
              <w:rPr>
                <w:rStyle w:val="Emphasis"/>
                <w:i w:val="0"/>
              </w:rPr>
              <w:t>Respiratory Sensitization. Material may be carcinogenic and cause reproductive toxicity.  Target organ exposure from repeated exposures.</w:t>
            </w:r>
          </w:p>
          <w:p w14:paraId="3E0315EA" w14:textId="393DB6DE" w:rsidR="007B5D1C" w:rsidRPr="00006035" w:rsidRDefault="007B5D1C" w:rsidP="00006035">
            <w:pPr>
              <w:pStyle w:val="ListParagraph"/>
              <w:widowControl w:val="0"/>
              <w:numPr>
                <w:ilvl w:val="0"/>
                <w:numId w:val="32"/>
              </w:numPr>
              <w:spacing w:before="80" w:after="80"/>
              <w:rPr>
                <w:color w:val="000000" w:themeColor="text1"/>
              </w:rPr>
            </w:pPr>
            <w:r w:rsidRPr="00006035">
              <w:rPr>
                <w:rStyle w:val="Emphasis"/>
                <w:rFonts w:cs="Tahoma"/>
                <w:i w:val="0"/>
                <w:color w:val="000000"/>
                <w:shd w:val="clear" w:color="auto" w:fill="FFFFFF"/>
              </w:rPr>
              <w:t>Severe Toxicity. May cause severe injury or death</w:t>
            </w:r>
          </w:p>
        </w:tc>
      </w:tr>
      <w:tr w:rsidR="00842745" w:rsidRPr="0061516E" w14:paraId="6F4DAB30" w14:textId="77777777" w:rsidTr="000520B6">
        <w:trPr>
          <w:trHeight w:val="432"/>
          <w:jc w:val="center"/>
        </w:trPr>
        <w:tc>
          <w:tcPr>
            <w:tcW w:w="10434" w:type="dxa"/>
            <w:gridSpan w:val="2"/>
            <w:shd w:val="clear" w:color="auto" w:fill="000E2F"/>
            <w:vAlign w:val="center"/>
          </w:tcPr>
          <w:p w14:paraId="39D65A29" w14:textId="77777777" w:rsidR="00842745" w:rsidRPr="0061516E" w:rsidRDefault="00174A02" w:rsidP="00C76674">
            <w:pPr>
              <w:pStyle w:val="Heading1"/>
              <w:spacing w:before="80" w:after="80"/>
              <w:rPr>
                <w:rFonts w:asciiTheme="minorHAnsi" w:hAnsiTheme="minorHAnsi"/>
                <w:b/>
                <w:color w:val="FFFFFF" w:themeColor="background1"/>
                <w:sz w:val="24"/>
                <w:szCs w:val="24"/>
              </w:rPr>
            </w:pPr>
            <w:r w:rsidRPr="0061516E">
              <w:rPr>
                <w:rFonts w:asciiTheme="minorHAnsi" w:hAnsiTheme="minorHAnsi"/>
                <w:b/>
                <w:color w:val="FFFFFF" w:themeColor="background1"/>
                <w:sz w:val="24"/>
                <w:szCs w:val="24"/>
              </w:rPr>
              <w:t>SECTION 2 – ADMINISTRATIVE CONTROLS</w:t>
            </w:r>
          </w:p>
        </w:tc>
      </w:tr>
      <w:tr w:rsidR="00842745" w:rsidRPr="0061516E" w14:paraId="644B4BF9" w14:textId="77777777" w:rsidTr="000520B6">
        <w:trPr>
          <w:trHeight w:val="2679"/>
          <w:jc w:val="center"/>
        </w:trPr>
        <w:tc>
          <w:tcPr>
            <w:tcW w:w="10434" w:type="dxa"/>
            <w:gridSpan w:val="2"/>
            <w:shd w:val="clear" w:color="auto" w:fill="FFFFFF" w:themeFill="background1"/>
            <w:vAlign w:val="center"/>
          </w:tcPr>
          <w:p w14:paraId="2C3007E6" w14:textId="77777777" w:rsidR="00B75DBE" w:rsidRPr="0061516E" w:rsidRDefault="00B75DBE" w:rsidP="00B75DBE">
            <w:pPr>
              <w:pStyle w:val="ListParagraph"/>
              <w:numPr>
                <w:ilvl w:val="0"/>
                <w:numId w:val="11"/>
              </w:numPr>
              <w:spacing w:after="0" w:line="240" w:lineRule="auto"/>
              <w:rPr>
                <w:rFonts w:eastAsia="Times New Roman" w:cs="Aparajita"/>
                <w:snapToGrid w:val="0"/>
              </w:rPr>
            </w:pPr>
            <w:r w:rsidRPr="0061516E">
              <w:rPr>
                <w:rFonts w:eastAsia="Times New Roman" w:cs="Aparajita"/>
                <w:snapToGrid w:val="0"/>
              </w:rPr>
              <w:t>Lab-specific safety training must be provided by the principal investigator (PI) or other qualified personnel to all researchers working with ozone. Documentation of training is required.</w:t>
            </w:r>
          </w:p>
          <w:p w14:paraId="49ABCE15" w14:textId="28AB409C" w:rsidR="00B75DBE" w:rsidRPr="0061516E" w:rsidRDefault="00B75DBE" w:rsidP="00B75DBE">
            <w:pPr>
              <w:pStyle w:val="ListParagraph"/>
              <w:numPr>
                <w:ilvl w:val="0"/>
                <w:numId w:val="11"/>
              </w:numPr>
              <w:spacing w:after="0" w:line="240" w:lineRule="auto"/>
              <w:rPr>
                <w:rFonts w:eastAsia="Times New Roman" w:cs="Aparajita"/>
                <w:snapToGrid w:val="0"/>
              </w:rPr>
            </w:pPr>
            <w:r w:rsidRPr="0061516E">
              <w:rPr>
                <w:rFonts w:eastAsia="Times New Roman" w:cs="Aparajita"/>
                <w:snapToGrid w:val="0"/>
              </w:rPr>
              <w:t xml:space="preserve">Read the safety data sheet (SDS) for the specific material prior to use: </w:t>
            </w:r>
            <w:hyperlink r:id="rId8" w:history="1">
              <w:r w:rsidRPr="0061516E">
                <w:rPr>
                  <w:rStyle w:val="Hyperlink"/>
                  <w:rFonts w:eastAsia="Times New Roman" w:cs="Aparajita"/>
                  <w:snapToGrid w:val="0"/>
                </w:rPr>
                <w:t>http://www.msds.com</w:t>
              </w:r>
            </w:hyperlink>
            <w:r w:rsidRPr="0061516E">
              <w:rPr>
                <w:rFonts w:eastAsia="Times New Roman" w:cs="Aparajita"/>
                <w:snapToGrid w:val="0"/>
              </w:rPr>
              <w:t xml:space="preserve"> (search for ozone in oxygen)</w:t>
            </w:r>
          </w:p>
          <w:p w14:paraId="5F0DD910" w14:textId="77777777" w:rsidR="00B75DBE" w:rsidRPr="0061516E" w:rsidRDefault="00B75DBE" w:rsidP="00B75DBE">
            <w:pPr>
              <w:pStyle w:val="ListParagraph"/>
              <w:numPr>
                <w:ilvl w:val="0"/>
                <w:numId w:val="11"/>
              </w:numPr>
              <w:spacing w:after="0" w:line="240" w:lineRule="auto"/>
              <w:rPr>
                <w:rFonts w:eastAsia="Times New Roman" w:cs="Aparajita"/>
                <w:snapToGrid w:val="0"/>
              </w:rPr>
            </w:pPr>
            <w:r w:rsidRPr="0061516E">
              <w:rPr>
                <w:rFonts w:eastAsia="Times New Roman" w:cs="Aparajita"/>
                <w:snapToGrid w:val="0"/>
              </w:rPr>
              <w:t>Researchers must not work alone with ozone.</w:t>
            </w:r>
          </w:p>
          <w:p w14:paraId="78069AD7" w14:textId="77777777" w:rsidR="00B75DBE" w:rsidRPr="0061516E" w:rsidRDefault="00B75DBE" w:rsidP="00B75DBE">
            <w:pPr>
              <w:pStyle w:val="ListParagraph"/>
              <w:widowControl w:val="0"/>
              <w:numPr>
                <w:ilvl w:val="0"/>
                <w:numId w:val="11"/>
              </w:numPr>
              <w:spacing w:before="80" w:after="80" w:line="240" w:lineRule="auto"/>
              <w:rPr>
                <w:rFonts w:eastAsia="Times New Roman" w:cs="Aparajita"/>
                <w:snapToGrid w:val="0"/>
              </w:rPr>
            </w:pPr>
            <w:r w:rsidRPr="0061516E">
              <w:rPr>
                <w:rFonts w:eastAsia="Times New Roman" w:cs="Aparajita"/>
                <w:snapToGrid w:val="0"/>
              </w:rPr>
              <w:t>Experiments should be performed during normal business hours (i.e., 8:00 am-5:00 pm Mon-Fri), if possible.</w:t>
            </w:r>
          </w:p>
          <w:p w14:paraId="1F067F4A" w14:textId="77777777" w:rsidR="004A0961" w:rsidRPr="0061516E" w:rsidRDefault="00AC26D7" w:rsidP="00B75DBE">
            <w:pPr>
              <w:pStyle w:val="ListParagraph"/>
              <w:widowControl w:val="0"/>
              <w:numPr>
                <w:ilvl w:val="0"/>
                <w:numId w:val="11"/>
              </w:numPr>
              <w:spacing w:after="0" w:line="240" w:lineRule="auto"/>
              <w:rPr>
                <w:rFonts w:cs="Tahoma"/>
                <w:color w:val="000000"/>
                <w:shd w:val="clear" w:color="auto" w:fill="FFFFFF"/>
              </w:rPr>
            </w:pPr>
            <w:r w:rsidRPr="0061516E">
              <w:rPr>
                <w:rFonts w:eastAsia="Times New Roman" w:cs="Aparajita"/>
                <w:snapToGrid w:val="0"/>
              </w:rPr>
              <w:t>Whenever possible, find safer substitutes or carry out reductions in smaller quantities</w:t>
            </w:r>
          </w:p>
          <w:p w14:paraId="6BDEFAE0" w14:textId="75D2FAAC" w:rsidR="005704F6" w:rsidRPr="0061516E" w:rsidRDefault="00480FD1" w:rsidP="00B75DBE">
            <w:pPr>
              <w:pStyle w:val="ListParagraph"/>
              <w:widowControl w:val="0"/>
              <w:numPr>
                <w:ilvl w:val="0"/>
                <w:numId w:val="11"/>
              </w:numPr>
              <w:spacing w:after="0" w:line="240" w:lineRule="auto"/>
              <w:rPr>
                <w:rFonts w:cs="Tahoma"/>
                <w:color w:val="000000"/>
                <w:shd w:val="clear" w:color="auto" w:fill="FFFFFF"/>
              </w:rPr>
            </w:pPr>
            <w:r w:rsidRPr="0061516E">
              <w:rPr>
                <w:rFonts w:eastAsia="Times New Roman" w:cs="Aparajita"/>
                <w:snapToGrid w:val="0"/>
              </w:rPr>
              <w:t>An eyewash and safety shower must be in the immediate work area</w:t>
            </w:r>
          </w:p>
        </w:tc>
      </w:tr>
      <w:tr w:rsidR="00842745" w:rsidRPr="0061516E" w14:paraId="3C51B485" w14:textId="77777777" w:rsidTr="000520B6">
        <w:trPr>
          <w:trHeight w:val="432"/>
          <w:jc w:val="center"/>
        </w:trPr>
        <w:tc>
          <w:tcPr>
            <w:tcW w:w="10434" w:type="dxa"/>
            <w:gridSpan w:val="2"/>
            <w:tcBorders>
              <w:bottom w:val="single" w:sz="4" w:space="0" w:color="auto"/>
            </w:tcBorders>
            <w:shd w:val="clear" w:color="auto" w:fill="000E2F"/>
            <w:vAlign w:val="center"/>
          </w:tcPr>
          <w:p w14:paraId="37AE7F2D" w14:textId="77777777" w:rsidR="00842745" w:rsidRPr="0061516E" w:rsidRDefault="00174A02" w:rsidP="00C76674">
            <w:pPr>
              <w:pStyle w:val="Heading1"/>
              <w:spacing w:before="80" w:after="80"/>
              <w:rPr>
                <w:rFonts w:asciiTheme="minorHAnsi" w:hAnsiTheme="minorHAnsi"/>
                <w:b/>
                <w:sz w:val="24"/>
                <w:szCs w:val="24"/>
              </w:rPr>
            </w:pPr>
            <w:r w:rsidRPr="0061516E">
              <w:rPr>
                <w:rFonts w:asciiTheme="minorHAnsi" w:hAnsiTheme="minorHAnsi"/>
                <w:b/>
                <w:color w:val="FFFFFF" w:themeColor="background1"/>
                <w:sz w:val="24"/>
                <w:szCs w:val="24"/>
              </w:rPr>
              <w:t>SECTION 3- ENGINEERING CONTROLS</w:t>
            </w:r>
          </w:p>
        </w:tc>
      </w:tr>
      <w:tr w:rsidR="003F4C6D" w:rsidRPr="0061516E" w14:paraId="45B03883" w14:textId="77777777" w:rsidTr="00932766">
        <w:trPr>
          <w:trHeight w:val="1457"/>
          <w:jc w:val="center"/>
        </w:trPr>
        <w:tc>
          <w:tcPr>
            <w:tcW w:w="10434" w:type="dxa"/>
            <w:gridSpan w:val="2"/>
            <w:shd w:val="clear" w:color="auto" w:fill="auto"/>
            <w:vAlign w:val="center"/>
          </w:tcPr>
          <w:p w14:paraId="0FB27818" w14:textId="77777777" w:rsidR="003F4C6D" w:rsidRPr="003F4C6D" w:rsidRDefault="003F4C6D" w:rsidP="003F4C6D">
            <w:pPr>
              <w:pStyle w:val="ListParagraph"/>
              <w:numPr>
                <w:ilvl w:val="0"/>
                <w:numId w:val="34"/>
              </w:numPr>
              <w:spacing w:before="80" w:after="80" w:line="240" w:lineRule="auto"/>
              <w:rPr>
                <w:rFonts w:eastAsia="Times New Roman" w:cs="Aparajita"/>
                <w:snapToGrid w:val="0"/>
              </w:rPr>
            </w:pPr>
            <w:r w:rsidRPr="009726F2">
              <w:rPr>
                <w:rFonts w:cs="Aparajita"/>
              </w:rPr>
              <w:t xml:space="preserve">All </w:t>
            </w:r>
            <w:r>
              <w:rPr>
                <w:rFonts w:cs="Aparajita"/>
              </w:rPr>
              <w:t>work</w:t>
            </w:r>
            <w:r w:rsidRPr="009726F2">
              <w:rPr>
                <w:rFonts w:cs="Aparajita"/>
              </w:rPr>
              <w:t xml:space="preserve"> with </w:t>
            </w:r>
            <w:r>
              <w:rPr>
                <w:rFonts w:eastAsia="Times New Roman" w:cs="Aparajita"/>
                <w:snapToGrid w:val="0"/>
              </w:rPr>
              <w:t xml:space="preserve">chromium reagents </w:t>
            </w:r>
            <w:r w:rsidRPr="009726F2">
              <w:rPr>
                <w:rFonts w:cs="Aparajita"/>
              </w:rPr>
              <w:t>must be conducted in a chemical fume hood, under dry conditions, with the sash at the lowest working height and with sliding sash panels (if applicable) aligned to form a barrier between the researcher and the experiment.</w:t>
            </w:r>
          </w:p>
          <w:p w14:paraId="164DE754" w14:textId="335D0551" w:rsidR="003F4C6D" w:rsidRPr="003F4C6D" w:rsidRDefault="003F4C6D" w:rsidP="003F4C6D">
            <w:pPr>
              <w:pStyle w:val="ListParagraph"/>
              <w:numPr>
                <w:ilvl w:val="0"/>
                <w:numId w:val="34"/>
              </w:numPr>
              <w:spacing w:before="80" w:after="80" w:line="240" w:lineRule="auto"/>
              <w:rPr>
                <w:rFonts w:eastAsia="Times New Roman" w:cs="Aparajita"/>
                <w:snapToGrid w:val="0"/>
              </w:rPr>
            </w:pPr>
            <w:r w:rsidRPr="009726F2">
              <w:rPr>
                <w:rFonts w:eastAsia="Times New Roman" w:cs="Aparajita"/>
                <w:snapToGrid w:val="0"/>
              </w:rPr>
              <w:t xml:space="preserve">Chemical fume hoods must </w:t>
            </w:r>
            <w:r>
              <w:rPr>
                <w:rFonts w:eastAsia="Times New Roman" w:cs="Aparajita"/>
                <w:snapToGrid w:val="0"/>
              </w:rPr>
              <w:t xml:space="preserve">have been </w:t>
            </w:r>
            <w:r w:rsidRPr="009726F2">
              <w:rPr>
                <w:rFonts w:eastAsia="Times New Roman" w:cs="Aparajita"/>
                <w:snapToGrid w:val="0"/>
              </w:rPr>
              <w:t>tested by EHS within the last year. If the hood is not working properly, contact F</w:t>
            </w:r>
            <w:bookmarkStart w:id="0" w:name="_GoBack"/>
            <w:bookmarkEnd w:id="0"/>
            <w:r w:rsidRPr="009726F2">
              <w:rPr>
                <w:rFonts w:eastAsia="Times New Roman" w:cs="Aparajita"/>
                <w:snapToGrid w:val="0"/>
              </w:rPr>
              <w:t>acilities (486-3113) to repair the hoo</w:t>
            </w:r>
            <w:r>
              <w:rPr>
                <w:rFonts w:eastAsia="Times New Roman" w:cs="Aparajita"/>
                <w:snapToGrid w:val="0"/>
              </w:rPr>
              <w:t>d or EHS to retest (486-3613).</w:t>
            </w:r>
          </w:p>
        </w:tc>
      </w:tr>
      <w:tr w:rsidR="003F4C6D" w:rsidRPr="0061516E" w14:paraId="7173910B" w14:textId="77777777" w:rsidTr="000520B6">
        <w:trPr>
          <w:trHeight w:val="432"/>
          <w:jc w:val="center"/>
        </w:trPr>
        <w:tc>
          <w:tcPr>
            <w:tcW w:w="10434" w:type="dxa"/>
            <w:gridSpan w:val="2"/>
            <w:shd w:val="clear" w:color="auto" w:fill="000E2F"/>
            <w:vAlign w:val="center"/>
          </w:tcPr>
          <w:p w14:paraId="410B817E" w14:textId="77777777" w:rsidR="003F4C6D" w:rsidRPr="0061516E" w:rsidRDefault="003F4C6D" w:rsidP="003F4C6D">
            <w:pPr>
              <w:pStyle w:val="Heading1"/>
              <w:keepLines w:val="0"/>
              <w:spacing w:before="80" w:after="80" w:line="240" w:lineRule="auto"/>
              <w:rPr>
                <w:rFonts w:asciiTheme="minorHAnsi" w:hAnsiTheme="minorHAnsi"/>
                <w:b/>
                <w:sz w:val="24"/>
                <w:szCs w:val="24"/>
              </w:rPr>
            </w:pPr>
            <w:r w:rsidRPr="0061516E">
              <w:rPr>
                <w:rFonts w:asciiTheme="minorHAnsi" w:hAnsiTheme="minorHAnsi"/>
                <w:b/>
                <w:color w:val="FFFFFF" w:themeColor="background1"/>
                <w:sz w:val="24"/>
                <w:szCs w:val="24"/>
              </w:rPr>
              <w:lastRenderedPageBreak/>
              <w:t>SECTION 4 – WORK PRACTICES</w:t>
            </w:r>
          </w:p>
        </w:tc>
      </w:tr>
      <w:tr w:rsidR="003F4C6D" w:rsidRPr="0061516E" w14:paraId="2D9E8243" w14:textId="77777777" w:rsidTr="00932766">
        <w:trPr>
          <w:trHeight w:val="4256"/>
          <w:jc w:val="center"/>
        </w:trPr>
        <w:tc>
          <w:tcPr>
            <w:tcW w:w="10434" w:type="dxa"/>
            <w:gridSpan w:val="2"/>
            <w:shd w:val="clear" w:color="auto" w:fill="FFFFFF" w:themeFill="background1"/>
            <w:vAlign w:val="center"/>
          </w:tcPr>
          <w:p w14:paraId="288E88AD" w14:textId="6DE21686"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Since compounds like DIBAL-H are stored in the fridge (R413), allow to warm to room temperature before using. Wipe off any water around the bottle using a dry paper towel.</w:t>
            </w:r>
          </w:p>
          <w:p w14:paraId="2B727A86" w14:textId="77777777"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 xml:space="preserve">Make sure that there are no other flammable materials such as other solvents, chemicals or paper in the fume hood. </w:t>
            </w:r>
          </w:p>
          <w:p w14:paraId="5177F845" w14:textId="73A057F6"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Always make sure that the syringe and needle you use to take out the chemical are dry and that the syringe was flushed with nitrogen several times immediately prior to use</w:t>
            </w:r>
          </w:p>
          <w:p w14:paraId="23020585" w14:textId="77777777"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 xml:space="preserve">For positive pressure, rather than attaching to a nitrogen or argon manifold, use a balloon filled with the smallest volume of argon or nitrogen that is necessary for your transfer. </w:t>
            </w:r>
          </w:p>
          <w:p w14:paraId="20636020" w14:textId="77777777"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Never “return” any unused material to the septa or sure-seal container.</w:t>
            </w:r>
          </w:p>
          <w:p w14:paraId="56083BC8" w14:textId="14EA4D0A"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Small amounts of excess reagent should be quenched dropwise into a dry-ice isopropanol slurry. Any residue in the syringe or needle used should also be quenched in this manner.</w:t>
            </w:r>
          </w:p>
          <w:p w14:paraId="7BAD1314" w14:textId="77777777"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Remove the balloon-needle from the bottle as soon as possible after the transfer and re-cap and seal the bottle with Parafilm before replacing in the refrigerator as described above.</w:t>
            </w:r>
          </w:p>
          <w:p w14:paraId="39C1DE9A" w14:textId="357C1B08"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In the case for LAH and NaBH</w:t>
            </w:r>
            <w:r w:rsidRPr="0061516E">
              <w:rPr>
                <w:rFonts w:eastAsia="Times New Roman" w:cs="Times New Roman"/>
                <w:vertAlign w:val="subscript"/>
              </w:rPr>
              <w:t>4</w:t>
            </w:r>
            <w:r>
              <w:rPr>
                <w:rFonts w:eastAsia="Times New Roman" w:cs="Times New Roman"/>
              </w:rPr>
              <w:t>, they are stored in desicc</w:t>
            </w:r>
            <w:r w:rsidRPr="0061516E">
              <w:rPr>
                <w:rFonts w:eastAsia="Times New Roman" w:cs="Times New Roman"/>
              </w:rPr>
              <w:t xml:space="preserve">ators </w:t>
            </w:r>
          </w:p>
          <w:p w14:paraId="79903DC4" w14:textId="3A60B22B" w:rsidR="003F4C6D" w:rsidRPr="0061516E" w:rsidRDefault="003F4C6D" w:rsidP="003F4C6D">
            <w:pPr>
              <w:pStyle w:val="ListParagraph"/>
              <w:numPr>
                <w:ilvl w:val="0"/>
                <w:numId w:val="18"/>
              </w:numPr>
              <w:spacing w:after="0" w:line="240" w:lineRule="auto"/>
              <w:rPr>
                <w:rFonts w:eastAsia="Times New Roman" w:cs="Times New Roman"/>
              </w:rPr>
            </w:pPr>
            <w:r w:rsidRPr="0061516E">
              <w:rPr>
                <w:rFonts w:eastAsia="Times New Roman" w:cs="Times New Roman"/>
              </w:rPr>
              <w:t>Weighing should be carried out fast and ensure there are no spills on the balance.</w:t>
            </w:r>
          </w:p>
        </w:tc>
      </w:tr>
      <w:tr w:rsidR="003F4C6D" w:rsidRPr="0061516E" w14:paraId="2D0F635E" w14:textId="77777777" w:rsidTr="000520B6">
        <w:trPr>
          <w:trHeight w:val="432"/>
          <w:jc w:val="center"/>
        </w:trPr>
        <w:tc>
          <w:tcPr>
            <w:tcW w:w="10434" w:type="dxa"/>
            <w:gridSpan w:val="2"/>
            <w:shd w:val="clear" w:color="auto" w:fill="000E2F"/>
            <w:vAlign w:val="center"/>
          </w:tcPr>
          <w:p w14:paraId="34F81A22" w14:textId="77777777" w:rsidR="003F4C6D" w:rsidRPr="0061516E" w:rsidRDefault="003F4C6D" w:rsidP="003F4C6D">
            <w:pPr>
              <w:pStyle w:val="Heading1"/>
              <w:keepNext w:val="0"/>
              <w:keepLines w:val="0"/>
              <w:spacing w:before="80" w:after="80" w:line="240" w:lineRule="auto"/>
              <w:rPr>
                <w:rFonts w:asciiTheme="minorHAnsi" w:hAnsiTheme="minorHAnsi"/>
                <w:b/>
                <w:sz w:val="24"/>
                <w:szCs w:val="24"/>
              </w:rPr>
            </w:pPr>
            <w:r w:rsidRPr="0061516E">
              <w:rPr>
                <w:rFonts w:asciiTheme="minorHAnsi" w:hAnsiTheme="minorHAnsi"/>
                <w:b/>
                <w:color w:val="FFFFFF" w:themeColor="background1"/>
                <w:sz w:val="24"/>
                <w:szCs w:val="24"/>
              </w:rPr>
              <w:t>SECTION 5 – PERSONAL PROTECTIVE EQUIPMENT (PPE)</w:t>
            </w:r>
          </w:p>
        </w:tc>
      </w:tr>
      <w:tr w:rsidR="003F4C6D" w:rsidRPr="0061516E" w14:paraId="79DC0653" w14:textId="77777777" w:rsidTr="000520B6">
        <w:trPr>
          <w:trHeight w:val="432"/>
          <w:jc w:val="center"/>
        </w:trPr>
        <w:tc>
          <w:tcPr>
            <w:tcW w:w="10434" w:type="dxa"/>
            <w:gridSpan w:val="2"/>
            <w:shd w:val="clear" w:color="auto" w:fill="FFFFFF" w:themeFill="background1"/>
            <w:vAlign w:val="center"/>
          </w:tcPr>
          <w:p w14:paraId="689E1ACC" w14:textId="2B80871F" w:rsidR="003F4C6D" w:rsidRPr="0061516E" w:rsidRDefault="003F4C6D" w:rsidP="003F4C6D">
            <w:pPr>
              <w:pStyle w:val="ListParagraph"/>
              <w:numPr>
                <w:ilvl w:val="0"/>
                <w:numId w:val="26"/>
              </w:numPr>
              <w:spacing w:before="80" w:after="80" w:line="240" w:lineRule="auto"/>
              <w:rPr>
                <w:rFonts w:eastAsia="Times New Roman" w:cs="Aparajita"/>
                <w:snapToGrid w:val="0"/>
              </w:rPr>
            </w:pPr>
            <w:r w:rsidRPr="0061516E">
              <w:rPr>
                <w:rFonts w:eastAsia="Times New Roman" w:cs="Aparajita"/>
                <w:snapToGrid w:val="0"/>
              </w:rPr>
              <w:t xml:space="preserve">At a minimum, a lab coat, closed-toed footwear and chemical safety splash goggles that meet ANSI standard Z-87.1 must be worn. </w:t>
            </w:r>
          </w:p>
          <w:p w14:paraId="4263DEE5" w14:textId="4D365BA6" w:rsidR="003F4C6D" w:rsidRPr="0061516E" w:rsidRDefault="003F4C6D" w:rsidP="003F4C6D">
            <w:pPr>
              <w:pStyle w:val="ListParagraph"/>
              <w:numPr>
                <w:ilvl w:val="0"/>
                <w:numId w:val="26"/>
              </w:numPr>
              <w:spacing w:before="80" w:after="80" w:line="240" w:lineRule="auto"/>
              <w:rPr>
                <w:rFonts w:eastAsia="Times New Roman" w:cs="Aparajita"/>
                <w:snapToGrid w:val="0"/>
              </w:rPr>
            </w:pPr>
            <w:r w:rsidRPr="0061516E">
              <w:rPr>
                <w:rFonts w:eastAsia="Times New Roman" w:cs="Aparajita"/>
                <w:snapToGrid w:val="0"/>
              </w:rPr>
              <w:t>Nitrile gloves indicated in the safety data sheet (SDS) must be worn and no skin should be exposed.</w:t>
            </w:r>
          </w:p>
          <w:p w14:paraId="0C6AD78D" w14:textId="38A0D29E" w:rsidR="003F4C6D" w:rsidRPr="0061516E" w:rsidRDefault="003F4C6D" w:rsidP="003F4C6D">
            <w:pPr>
              <w:pStyle w:val="ListParagraph"/>
              <w:numPr>
                <w:ilvl w:val="0"/>
                <w:numId w:val="26"/>
              </w:numPr>
              <w:spacing w:before="80" w:after="80" w:line="240" w:lineRule="auto"/>
              <w:rPr>
                <w:rFonts w:eastAsia="Times New Roman" w:cs="Aparajita"/>
                <w:snapToGrid w:val="0"/>
              </w:rPr>
            </w:pPr>
            <w:r w:rsidRPr="0061516E">
              <w:rPr>
                <w:rFonts w:eastAsia="Times New Roman" w:cs="Aparajita"/>
                <w:snapToGrid w:val="0"/>
              </w:rPr>
              <w:t>Full-face shield should be used if the experiment is being conducted on a larger scale i.e., exceeding 25 ml of hydride solution of 5 g of solid material.</w:t>
            </w:r>
          </w:p>
        </w:tc>
      </w:tr>
      <w:tr w:rsidR="003F4C6D" w:rsidRPr="0061516E" w14:paraId="5018D265" w14:textId="77777777" w:rsidTr="000520B6">
        <w:trPr>
          <w:trHeight w:val="432"/>
          <w:jc w:val="center"/>
        </w:trPr>
        <w:tc>
          <w:tcPr>
            <w:tcW w:w="10434" w:type="dxa"/>
            <w:gridSpan w:val="2"/>
            <w:shd w:val="clear" w:color="auto" w:fill="000E2F"/>
          </w:tcPr>
          <w:p w14:paraId="08EB90A5" w14:textId="48200B95" w:rsidR="003F4C6D" w:rsidRPr="0061516E" w:rsidRDefault="003F4C6D" w:rsidP="003F4C6D">
            <w:pPr>
              <w:pStyle w:val="Heading1"/>
              <w:keepNext w:val="0"/>
              <w:keepLines w:val="0"/>
              <w:spacing w:before="80" w:after="80" w:line="240" w:lineRule="auto"/>
              <w:rPr>
                <w:rFonts w:asciiTheme="minorHAnsi" w:hAnsiTheme="minorHAnsi"/>
                <w:b/>
                <w:sz w:val="24"/>
                <w:szCs w:val="24"/>
              </w:rPr>
            </w:pPr>
            <w:r w:rsidRPr="0061516E">
              <w:rPr>
                <w:rStyle w:val="A5"/>
                <w:rFonts w:asciiTheme="minorHAnsi" w:hAnsiTheme="minorHAnsi" w:cstheme="majorBidi"/>
                <w:b/>
                <w:color w:val="FFFFFF" w:themeColor="background1"/>
                <w:sz w:val="24"/>
                <w:szCs w:val="24"/>
              </w:rPr>
              <w:t>SECTION 6 – STORAGE</w:t>
            </w:r>
          </w:p>
        </w:tc>
      </w:tr>
      <w:tr w:rsidR="003F4C6D" w:rsidRPr="0061516E" w14:paraId="03F21646" w14:textId="77777777" w:rsidTr="000520B6">
        <w:trPr>
          <w:trHeight w:val="458"/>
          <w:jc w:val="center"/>
        </w:trPr>
        <w:tc>
          <w:tcPr>
            <w:tcW w:w="10434" w:type="dxa"/>
            <w:gridSpan w:val="2"/>
            <w:shd w:val="clear" w:color="auto" w:fill="FFFFFF" w:themeFill="background1"/>
          </w:tcPr>
          <w:p w14:paraId="35F20C2F" w14:textId="3C6AA9A8" w:rsidR="003F4C6D" w:rsidRPr="0061516E" w:rsidRDefault="003F4C6D" w:rsidP="003F4C6D">
            <w:pPr>
              <w:pStyle w:val="ListParagraph"/>
              <w:numPr>
                <w:ilvl w:val="0"/>
                <w:numId w:val="19"/>
              </w:numPr>
              <w:spacing w:before="80" w:after="80" w:line="240" w:lineRule="auto"/>
              <w:rPr>
                <w:color w:val="000000" w:themeColor="text1"/>
              </w:rPr>
            </w:pPr>
            <w:r w:rsidRPr="0061516E">
              <w:rPr>
                <w:color w:val="000000" w:themeColor="text1"/>
              </w:rPr>
              <w:t>All containers must be clearly labeled with the chemical name and hazard classes and kept tightly-sealed.</w:t>
            </w:r>
          </w:p>
          <w:p w14:paraId="279F2975" w14:textId="7FE33F8B" w:rsidR="003F4C6D" w:rsidRPr="0061516E" w:rsidRDefault="003F4C6D" w:rsidP="003F4C6D">
            <w:pPr>
              <w:pStyle w:val="ListParagraph"/>
              <w:numPr>
                <w:ilvl w:val="0"/>
                <w:numId w:val="19"/>
              </w:numPr>
              <w:spacing w:before="80" w:after="80" w:line="240" w:lineRule="auto"/>
              <w:rPr>
                <w:rFonts w:eastAsia="Times New Roman" w:cs="Aparajita"/>
                <w:snapToGrid w:val="0"/>
              </w:rPr>
            </w:pPr>
            <w:r w:rsidRPr="0061516E">
              <w:t>Ensure labels on original bottles remain legible and prominently displayed to identify contents.</w:t>
            </w:r>
          </w:p>
          <w:p w14:paraId="634C5F54" w14:textId="1704FFB5" w:rsidR="003F4C6D" w:rsidRPr="0061516E" w:rsidRDefault="003F4C6D" w:rsidP="003F4C6D">
            <w:pPr>
              <w:pStyle w:val="ListParagraph"/>
              <w:numPr>
                <w:ilvl w:val="0"/>
                <w:numId w:val="19"/>
              </w:numPr>
              <w:spacing w:before="80" w:after="80" w:line="240" w:lineRule="auto"/>
              <w:rPr>
                <w:rFonts w:eastAsia="Times New Roman" w:cs="Aparajita"/>
                <w:snapToGrid w:val="0"/>
              </w:rPr>
            </w:pPr>
            <w:r w:rsidRPr="0061516E">
              <w:rPr>
                <w:rFonts w:eastAsia="Times New Roman" w:cs="Aparajita"/>
                <w:snapToGrid w:val="0"/>
              </w:rPr>
              <w:t xml:space="preserve">Store compounds away from </w:t>
            </w:r>
            <w:r w:rsidRPr="0061516E">
              <w:t>oxidizing agents and in a cool, dry environment, preferably in the fridge for DIBAL-H and desiccators for NaBH</w:t>
            </w:r>
            <w:r w:rsidRPr="0061516E">
              <w:rPr>
                <w:vertAlign w:val="subscript"/>
              </w:rPr>
              <w:t>4</w:t>
            </w:r>
            <w:r w:rsidRPr="0061516E">
              <w:t xml:space="preserve"> and LAH.</w:t>
            </w:r>
          </w:p>
        </w:tc>
      </w:tr>
      <w:tr w:rsidR="003F4C6D" w:rsidRPr="0061516E" w14:paraId="23888F60" w14:textId="77777777" w:rsidTr="000520B6">
        <w:trPr>
          <w:trHeight w:val="432"/>
          <w:jc w:val="center"/>
        </w:trPr>
        <w:tc>
          <w:tcPr>
            <w:tcW w:w="10434" w:type="dxa"/>
            <w:gridSpan w:val="2"/>
            <w:shd w:val="clear" w:color="auto" w:fill="000E2F"/>
            <w:vAlign w:val="center"/>
          </w:tcPr>
          <w:p w14:paraId="794D3F76" w14:textId="77777777" w:rsidR="003F4C6D" w:rsidRPr="0061516E" w:rsidRDefault="003F4C6D" w:rsidP="003F4C6D">
            <w:pPr>
              <w:pStyle w:val="Heading1"/>
              <w:keepNext w:val="0"/>
              <w:keepLines w:val="0"/>
              <w:spacing w:before="80" w:after="80" w:line="240" w:lineRule="auto"/>
              <w:rPr>
                <w:rFonts w:asciiTheme="minorHAnsi" w:hAnsiTheme="minorHAnsi"/>
                <w:b/>
                <w:sz w:val="24"/>
                <w:szCs w:val="24"/>
              </w:rPr>
            </w:pPr>
            <w:r w:rsidRPr="0061516E">
              <w:rPr>
                <w:rFonts w:asciiTheme="minorHAnsi" w:hAnsiTheme="minorHAnsi"/>
                <w:b/>
                <w:color w:val="FFFFFF" w:themeColor="background1"/>
                <w:sz w:val="24"/>
                <w:szCs w:val="24"/>
              </w:rPr>
              <w:t>SECTION 7 – SPILL AND ACCIDENT PROCEDURES</w:t>
            </w:r>
          </w:p>
        </w:tc>
      </w:tr>
      <w:tr w:rsidR="003F4C6D" w:rsidRPr="0061516E" w14:paraId="637082D0" w14:textId="77777777" w:rsidTr="000520B6">
        <w:trPr>
          <w:trHeight w:val="432"/>
          <w:jc w:val="center"/>
        </w:trPr>
        <w:tc>
          <w:tcPr>
            <w:tcW w:w="10434" w:type="dxa"/>
            <w:gridSpan w:val="2"/>
            <w:shd w:val="clear" w:color="auto" w:fill="FFFFFF" w:themeFill="background1"/>
            <w:vAlign w:val="center"/>
          </w:tcPr>
          <w:p w14:paraId="245A4DB8" w14:textId="77777777" w:rsidR="003F4C6D" w:rsidRPr="0061516E" w:rsidRDefault="003F4C6D" w:rsidP="003F4C6D">
            <w:pPr>
              <w:pStyle w:val="ListParagraph"/>
              <w:numPr>
                <w:ilvl w:val="0"/>
                <w:numId w:val="20"/>
              </w:numPr>
              <w:spacing w:before="80" w:after="80" w:line="240" w:lineRule="auto"/>
              <w:rPr>
                <w:rFonts w:cs="Aparajita"/>
                <w:color w:val="000000"/>
                <w:shd w:val="clear" w:color="auto" w:fill="FFFFFF"/>
              </w:rPr>
            </w:pPr>
            <w:r w:rsidRPr="0061516E">
              <w:rPr>
                <w:rFonts w:cs="Aparajita"/>
                <w:color w:val="000000"/>
                <w:shd w:val="clear" w:color="auto" w:fill="FFFFFF"/>
              </w:rPr>
              <w:t xml:space="preserve">Evacuate the laboratory </w:t>
            </w:r>
          </w:p>
          <w:p w14:paraId="33418B4C" w14:textId="23557521" w:rsidR="003F4C6D" w:rsidRPr="0061516E" w:rsidRDefault="003F4C6D" w:rsidP="003F4C6D">
            <w:pPr>
              <w:pStyle w:val="ListParagraph"/>
              <w:numPr>
                <w:ilvl w:val="0"/>
                <w:numId w:val="20"/>
              </w:numPr>
              <w:spacing w:before="80" w:after="80" w:line="240" w:lineRule="auto"/>
              <w:rPr>
                <w:rFonts w:cs="Aparajita"/>
                <w:color w:val="000000"/>
                <w:shd w:val="clear" w:color="auto" w:fill="FFFFFF"/>
              </w:rPr>
            </w:pPr>
            <w:r w:rsidRPr="0061516E">
              <w:rPr>
                <w:rFonts w:cs="Aparajita"/>
                <w:color w:val="000000"/>
                <w:shd w:val="clear" w:color="auto" w:fill="FFFFFF"/>
              </w:rPr>
              <w:t xml:space="preserve"> Close door(s) to lab and post a “</w:t>
            </w:r>
            <w:r w:rsidRPr="0061516E">
              <w:rPr>
                <w:rFonts w:cs="Aparajita"/>
                <w:b/>
                <w:color w:val="000000"/>
                <w:shd w:val="clear" w:color="auto" w:fill="FFFFFF"/>
              </w:rPr>
              <w:t>NO ENTRY</w:t>
            </w:r>
            <w:r w:rsidRPr="0061516E">
              <w:rPr>
                <w:rFonts w:cs="Aparajita"/>
                <w:color w:val="000000"/>
                <w:shd w:val="clear" w:color="auto" w:fill="FFFFFF"/>
              </w:rPr>
              <w:t>” sign(s) or other warning information on the door</w:t>
            </w:r>
            <w:r w:rsidRPr="0061516E">
              <w:rPr>
                <w:rFonts w:eastAsia="Times New Roman" w:cs="Aparajita"/>
                <w:snapToGrid w:val="0"/>
              </w:rPr>
              <w:t>, detailing the type of hazard inside</w:t>
            </w:r>
          </w:p>
          <w:p w14:paraId="57CD704C" w14:textId="224D04B8" w:rsidR="003F4C6D" w:rsidRPr="0061516E" w:rsidRDefault="003F4C6D" w:rsidP="003F4C6D">
            <w:pPr>
              <w:pStyle w:val="ListParagraph"/>
              <w:numPr>
                <w:ilvl w:val="0"/>
                <w:numId w:val="20"/>
              </w:numPr>
              <w:spacing w:before="80" w:after="80" w:line="240" w:lineRule="auto"/>
              <w:rPr>
                <w:rFonts w:cs="Aparajita"/>
                <w:bCs/>
                <w:color w:val="000000"/>
                <w:shd w:val="clear" w:color="auto" w:fill="FFFFFF"/>
              </w:rPr>
            </w:pPr>
            <w:r w:rsidRPr="0061516E">
              <w:rPr>
                <w:rFonts w:cs="Aparajita"/>
                <w:color w:val="000000"/>
                <w:shd w:val="clear" w:color="auto" w:fill="FFFFFF"/>
              </w:rPr>
              <w:t xml:space="preserve">Activate the fire alarm and call </w:t>
            </w:r>
            <w:r w:rsidRPr="0061516E">
              <w:rPr>
                <w:rFonts w:cs="Aparajita"/>
                <w:bCs/>
                <w:shd w:val="clear" w:color="auto" w:fill="FFFFFF"/>
              </w:rPr>
              <w:t>911</w:t>
            </w:r>
            <w:r w:rsidRPr="0061516E">
              <w:rPr>
                <w:rFonts w:cs="Aparajita"/>
                <w:bCs/>
                <w:color w:val="000000"/>
                <w:shd w:val="clear" w:color="auto" w:fill="FFFFFF"/>
              </w:rPr>
              <w:t xml:space="preserve">, </w:t>
            </w:r>
            <w:r w:rsidRPr="0061516E">
              <w:rPr>
                <w:rFonts w:eastAsia="Times New Roman" w:cs="Aparajita"/>
                <w:snapToGrid w:val="0"/>
              </w:rPr>
              <w:t>detailing the type of emergency</w:t>
            </w:r>
          </w:p>
          <w:p w14:paraId="48F112F1" w14:textId="793B65D0" w:rsidR="003F4C6D" w:rsidRPr="0061516E" w:rsidRDefault="003F4C6D" w:rsidP="003F4C6D">
            <w:pPr>
              <w:pStyle w:val="ListParagraph"/>
              <w:numPr>
                <w:ilvl w:val="0"/>
                <w:numId w:val="20"/>
              </w:numPr>
              <w:spacing w:before="80" w:after="80" w:line="240" w:lineRule="auto"/>
              <w:rPr>
                <w:rFonts w:eastAsia="Times New Roman" w:cs="Aparajita"/>
                <w:snapToGrid w:val="0"/>
              </w:rPr>
            </w:pPr>
            <w:r w:rsidRPr="0061516E">
              <w:rPr>
                <w:rFonts w:cs="Aparajita"/>
                <w:color w:val="000000"/>
                <w:shd w:val="clear" w:color="auto" w:fill="FFFFFF"/>
              </w:rPr>
              <w:t>Do not re-enter area until instructed to do so by UCFD or other emergency personnel.</w:t>
            </w:r>
            <w:r w:rsidRPr="0061516E">
              <w:rPr>
                <w:rFonts w:cs="Aparajita"/>
                <w:bCs/>
                <w:color w:val="000000"/>
                <w:shd w:val="clear" w:color="auto" w:fill="FFFFFF"/>
              </w:rPr>
              <w:t xml:space="preserve"> Report accident to Dr. Brückner and EH&amp;S.</w:t>
            </w:r>
          </w:p>
        </w:tc>
      </w:tr>
      <w:tr w:rsidR="003F4C6D" w:rsidRPr="0061516E" w14:paraId="2586D450" w14:textId="77777777" w:rsidTr="000520B6">
        <w:trPr>
          <w:trHeight w:val="432"/>
          <w:jc w:val="center"/>
        </w:trPr>
        <w:tc>
          <w:tcPr>
            <w:tcW w:w="10434" w:type="dxa"/>
            <w:gridSpan w:val="2"/>
            <w:shd w:val="clear" w:color="auto" w:fill="000E2F"/>
            <w:vAlign w:val="center"/>
          </w:tcPr>
          <w:p w14:paraId="6E57488A" w14:textId="77777777" w:rsidR="003F4C6D" w:rsidRPr="0061516E" w:rsidRDefault="003F4C6D" w:rsidP="003F4C6D">
            <w:pPr>
              <w:pStyle w:val="Heading1"/>
              <w:spacing w:before="80" w:after="80" w:line="240" w:lineRule="auto"/>
              <w:rPr>
                <w:rFonts w:asciiTheme="minorHAnsi" w:hAnsiTheme="minorHAnsi"/>
                <w:b/>
                <w:sz w:val="22"/>
                <w:szCs w:val="22"/>
              </w:rPr>
            </w:pPr>
            <w:r w:rsidRPr="0061516E">
              <w:rPr>
                <w:rFonts w:asciiTheme="minorHAnsi" w:hAnsiTheme="minorHAnsi"/>
                <w:b/>
                <w:color w:val="FFFFFF" w:themeColor="background1"/>
                <w:sz w:val="22"/>
                <w:szCs w:val="22"/>
              </w:rPr>
              <w:t>SECTION 8 – FIRST AID PROCEDURES</w:t>
            </w:r>
          </w:p>
        </w:tc>
      </w:tr>
      <w:tr w:rsidR="003F4C6D" w:rsidRPr="0061516E" w14:paraId="4FAD2959" w14:textId="77777777" w:rsidTr="000520B6">
        <w:trPr>
          <w:trHeight w:val="432"/>
          <w:jc w:val="center"/>
        </w:trPr>
        <w:tc>
          <w:tcPr>
            <w:tcW w:w="10434" w:type="dxa"/>
            <w:gridSpan w:val="2"/>
            <w:shd w:val="clear" w:color="auto" w:fill="FFFFFF" w:themeFill="background1"/>
          </w:tcPr>
          <w:tbl>
            <w:tblPr>
              <w:tblStyle w:val="TableGrid"/>
              <w:tblW w:w="10316"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2428"/>
              <w:gridCol w:w="7888"/>
            </w:tblGrid>
            <w:tr w:rsidR="003F4C6D" w:rsidRPr="0061516E" w14:paraId="341A415F" w14:textId="77777777" w:rsidTr="00932766">
              <w:trPr>
                <w:trHeight w:val="1386"/>
              </w:trPr>
              <w:tc>
                <w:tcPr>
                  <w:tcW w:w="2428" w:type="dxa"/>
                  <w:vAlign w:val="center"/>
                </w:tcPr>
                <w:p w14:paraId="570137EE" w14:textId="77777777" w:rsidR="003F4C6D" w:rsidRPr="0061516E" w:rsidRDefault="003F4C6D" w:rsidP="003F4C6D">
                  <w:pPr>
                    <w:widowControl w:val="0"/>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t>First Aid- Eyes</w:t>
                  </w:r>
                </w:p>
              </w:tc>
              <w:tc>
                <w:tcPr>
                  <w:tcW w:w="7888" w:type="dxa"/>
                </w:tcPr>
                <w:p w14:paraId="64CB96D3" w14:textId="77777777" w:rsidR="003F4C6D" w:rsidRPr="0061516E" w:rsidRDefault="003F4C6D" w:rsidP="003F4C6D">
                  <w:pPr>
                    <w:pStyle w:val="ListParagraph"/>
                    <w:widowControl w:val="0"/>
                    <w:numPr>
                      <w:ilvl w:val="0"/>
                      <w:numId w:val="21"/>
                    </w:numPr>
                    <w:spacing w:after="0" w:line="240" w:lineRule="auto"/>
                    <w:contextualSpacing w:val="0"/>
                    <w:rPr>
                      <w:rFonts w:eastAsia="Times New Roman" w:cs="Aparajita"/>
                      <w:snapToGrid w:val="0"/>
                    </w:rPr>
                  </w:pPr>
                  <w:r w:rsidRPr="0061516E">
                    <w:rPr>
                      <w:rFonts w:eastAsia="Times New Roman" w:cs="Aparajita"/>
                      <w:snapToGrid w:val="0"/>
                      <w:shd w:val="clear" w:color="auto" w:fill="FFFFFF"/>
                    </w:rPr>
                    <w:t xml:space="preserve">Immediately move to the eyewash station, hold eyelids open and flush </w:t>
                  </w:r>
                  <w:r w:rsidRPr="0061516E">
                    <w:rPr>
                      <w:rFonts w:eastAsia="Times New Roman" w:cs="Aparajita"/>
                      <w:snapToGrid w:val="0"/>
                    </w:rPr>
                    <w:t>with water. Remove contact lenses while flushing (if applicable).</w:t>
                  </w:r>
                </w:p>
                <w:p w14:paraId="71661609" w14:textId="77777777" w:rsidR="003F4C6D" w:rsidRPr="0061516E" w:rsidRDefault="003F4C6D" w:rsidP="003F4C6D">
                  <w:pPr>
                    <w:pStyle w:val="ListParagraph"/>
                    <w:widowControl w:val="0"/>
                    <w:numPr>
                      <w:ilvl w:val="0"/>
                      <w:numId w:val="21"/>
                    </w:numPr>
                    <w:spacing w:after="0" w:line="240" w:lineRule="auto"/>
                    <w:contextualSpacing w:val="0"/>
                    <w:rPr>
                      <w:rFonts w:eastAsia="Times New Roman" w:cs="Aparajita"/>
                      <w:snapToGrid w:val="0"/>
                    </w:rPr>
                  </w:pPr>
                  <w:r w:rsidRPr="0061516E">
                    <w:rPr>
                      <w:rFonts w:eastAsia="Times New Roman" w:cs="Aparajita"/>
                      <w:snapToGrid w:val="0"/>
                    </w:rPr>
                    <w:t>Have another person from the lab dial 911</w:t>
                  </w:r>
                  <w:r w:rsidRPr="0061516E">
                    <w:rPr>
                      <w:rFonts w:eastAsia="Times New Roman" w:cs="Aparajita"/>
                      <w:b/>
                      <w:snapToGrid w:val="0"/>
                    </w:rPr>
                    <w:t xml:space="preserve"> </w:t>
                  </w:r>
                  <w:r w:rsidRPr="0061516E">
                    <w:rPr>
                      <w:rFonts w:eastAsia="Times New Roman" w:cs="Aparajita"/>
                      <w:snapToGrid w:val="0"/>
                    </w:rPr>
                    <w:t xml:space="preserve">and specifically mention compound exposure. </w:t>
                  </w:r>
                </w:p>
                <w:p w14:paraId="5DAC3FD9" w14:textId="47ACB7AB" w:rsidR="003F4C6D" w:rsidRPr="00932766" w:rsidRDefault="003F4C6D" w:rsidP="003F4C6D">
                  <w:pPr>
                    <w:pStyle w:val="ListParagraph"/>
                    <w:widowControl w:val="0"/>
                    <w:numPr>
                      <w:ilvl w:val="0"/>
                      <w:numId w:val="21"/>
                    </w:numPr>
                    <w:spacing w:after="0" w:line="240" w:lineRule="auto"/>
                    <w:contextualSpacing w:val="0"/>
                    <w:rPr>
                      <w:rFonts w:eastAsia="Times New Roman" w:cs="Aparajita"/>
                      <w:snapToGrid w:val="0"/>
                    </w:rPr>
                  </w:pPr>
                  <w:r w:rsidRPr="0061516E">
                    <w:rPr>
                      <w:rFonts w:eastAsia="Times New Roman" w:cs="Aparajita"/>
                      <w:snapToGrid w:val="0"/>
                    </w:rPr>
                    <w:t>Continue flushing the eyes until emergency personnel arrives.</w:t>
                  </w:r>
                </w:p>
              </w:tc>
            </w:tr>
            <w:tr w:rsidR="003F4C6D" w:rsidRPr="0061516E" w14:paraId="51CE0674" w14:textId="77777777" w:rsidTr="00932766">
              <w:trPr>
                <w:trHeight w:val="1664"/>
              </w:trPr>
              <w:tc>
                <w:tcPr>
                  <w:tcW w:w="2428" w:type="dxa"/>
                  <w:vAlign w:val="center"/>
                </w:tcPr>
                <w:p w14:paraId="6E4AB5AC" w14:textId="67BADA63" w:rsidR="003F4C6D" w:rsidRPr="0061516E" w:rsidRDefault="003F4C6D" w:rsidP="003F4C6D">
                  <w:pPr>
                    <w:widowControl w:val="0"/>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lastRenderedPageBreak/>
                    <w:t>First Aid- Skin</w:t>
                  </w:r>
                </w:p>
                <w:p w14:paraId="4328715C" w14:textId="77777777" w:rsidR="003F4C6D" w:rsidRPr="0061516E" w:rsidRDefault="003F4C6D" w:rsidP="003F4C6D">
                  <w:pPr>
                    <w:widowControl w:val="0"/>
                    <w:rPr>
                      <w:rFonts w:asciiTheme="minorHAnsi" w:eastAsia="Times New Roman" w:hAnsiTheme="minorHAnsi" w:cs="Aparajita"/>
                      <w:snapToGrid w:val="0"/>
                      <w:sz w:val="22"/>
                      <w:szCs w:val="22"/>
                    </w:rPr>
                  </w:pPr>
                </w:p>
              </w:tc>
              <w:tc>
                <w:tcPr>
                  <w:tcW w:w="7888" w:type="dxa"/>
                </w:tcPr>
                <w:p w14:paraId="0191A33A" w14:textId="77777777" w:rsidR="003F4C6D" w:rsidRPr="0061516E" w:rsidRDefault="003F4C6D" w:rsidP="003F4C6D">
                  <w:pPr>
                    <w:pStyle w:val="ListParagraph"/>
                    <w:widowControl w:val="0"/>
                    <w:numPr>
                      <w:ilvl w:val="0"/>
                      <w:numId w:val="22"/>
                    </w:numPr>
                    <w:spacing w:after="0" w:line="240" w:lineRule="auto"/>
                    <w:contextualSpacing w:val="0"/>
                    <w:jc w:val="both"/>
                    <w:rPr>
                      <w:rFonts w:eastAsia="Times New Roman" w:cs="Aparajita"/>
                      <w:snapToGrid w:val="0"/>
                    </w:rPr>
                  </w:pPr>
                  <w:r w:rsidRPr="0061516E">
                    <w:rPr>
                      <w:rFonts w:eastAsia="Times New Roman" w:cs="Aparajita"/>
                      <w:snapToGrid w:val="0"/>
                      <w:shd w:val="clear" w:color="auto" w:fill="FFFFFF"/>
                    </w:rPr>
                    <w:t xml:space="preserve">Immediately </w:t>
                  </w:r>
                  <w:r w:rsidRPr="0061516E">
                    <w:rPr>
                      <w:rFonts w:eastAsia="Times New Roman" w:cs="Aparajita"/>
                      <w:snapToGrid w:val="0"/>
                    </w:rPr>
                    <w:t xml:space="preserve">move to safety shower or other water source and begin rinsing affected area(s). Remove contaminated clothing (if applicable) while flushing. </w:t>
                  </w:r>
                </w:p>
                <w:p w14:paraId="4B2FA284" w14:textId="77777777" w:rsidR="003F4C6D" w:rsidRPr="0061516E" w:rsidRDefault="003F4C6D" w:rsidP="003F4C6D">
                  <w:pPr>
                    <w:pStyle w:val="ListParagraph"/>
                    <w:widowControl w:val="0"/>
                    <w:numPr>
                      <w:ilvl w:val="0"/>
                      <w:numId w:val="22"/>
                    </w:numPr>
                    <w:spacing w:after="0" w:line="240" w:lineRule="auto"/>
                    <w:contextualSpacing w:val="0"/>
                    <w:rPr>
                      <w:rFonts w:eastAsia="Times New Roman" w:cs="Aparajita"/>
                      <w:snapToGrid w:val="0"/>
                    </w:rPr>
                  </w:pPr>
                  <w:r w:rsidRPr="0061516E">
                    <w:rPr>
                      <w:rFonts w:eastAsia="Times New Roman" w:cs="Aparajita"/>
                      <w:snapToGrid w:val="0"/>
                    </w:rPr>
                    <w:t>Have another person from the lab dial 911</w:t>
                  </w:r>
                  <w:r w:rsidRPr="0061516E">
                    <w:rPr>
                      <w:rFonts w:eastAsia="Times New Roman" w:cs="Aparajita"/>
                      <w:b/>
                      <w:snapToGrid w:val="0"/>
                    </w:rPr>
                    <w:t xml:space="preserve"> </w:t>
                  </w:r>
                  <w:r w:rsidRPr="0061516E">
                    <w:rPr>
                      <w:rFonts w:eastAsia="Times New Roman" w:cs="Aparajita"/>
                      <w:snapToGrid w:val="0"/>
                    </w:rPr>
                    <w:t xml:space="preserve">and specifically mention exposure. </w:t>
                  </w:r>
                </w:p>
                <w:p w14:paraId="7D7A6F80" w14:textId="06590566" w:rsidR="003F4C6D" w:rsidRPr="0061516E" w:rsidRDefault="003F4C6D" w:rsidP="003F4C6D">
                  <w:pPr>
                    <w:pStyle w:val="ListParagraph"/>
                    <w:widowControl w:val="0"/>
                    <w:numPr>
                      <w:ilvl w:val="0"/>
                      <w:numId w:val="22"/>
                    </w:numPr>
                    <w:spacing w:after="0" w:line="240" w:lineRule="auto"/>
                    <w:contextualSpacing w:val="0"/>
                    <w:jc w:val="both"/>
                    <w:rPr>
                      <w:rFonts w:eastAsia="Times New Roman" w:cs="Aparajita"/>
                      <w:snapToGrid w:val="0"/>
                    </w:rPr>
                  </w:pPr>
                  <w:r w:rsidRPr="0061516E">
                    <w:rPr>
                      <w:rFonts w:eastAsia="Times New Roman" w:cs="Aparajita"/>
                      <w:snapToGrid w:val="0"/>
                    </w:rPr>
                    <w:t xml:space="preserve">Flush affected area(s) under safety shower for at least 15 minutes. </w:t>
                  </w:r>
                </w:p>
                <w:p w14:paraId="7875947A" w14:textId="787753BE" w:rsidR="003F4C6D" w:rsidRPr="00932766" w:rsidRDefault="003F4C6D" w:rsidP="003F4C6D">
                  <w:pPr>
                    <w:pStyle w:val="ListParagraph"/>
                    <w:widowControl w:val="0"/>
                    <w:numPr>
                      <w:ilvl w:val="0"/>
                      <w:numId w:val="22"/>
                    </w:numPr>
                    <w:spacing w:after="0" w:line="240" w:lineRule="auto"/>
                    <w:contextualSpacing w:val="0"/>
                    <w:jc w:val="both"/>
                    <w:rPr>
                      <w:rFonts w:eastAsia="Times New Roman" w:cs="Aparajita"/>
                      <w:snapToGrid w:val="0"/>
                    </w:rPr>
                  </w:pPr>
                  <w:r w:rsidRPr="0061516E">
                    <w:rPr>
                      <w:rFonts w:eastAsia="Times New Roman" w:cs="Aparajita"/>
                      <w:snapToGrid w:val="0"/>
                    </w:rPr>
                    <w:t>Keep applying ointment or rinsing affected area(s) until emergency personnel arrives.</w:t>
                  </w:r>
                </w:p>
              </w:tc>
            </w:tr>
            <w:tr w:rsidR="003F4C6D" w:rsidRPr="0061516E" w14:paraId="184A7861" w14:textId="77777777" w:rsidTr="00932766">
              <w:trPr>
                <w:trHeight w:val="593"/>
              </w:trPr>
              <w:tc>
                <w:tcPr>
                  <w:tcW w:w="2428" w:type="dxa"/>
                  <w:vAlign w:val="center"/>
                </w:tcPr>
                <w:p w14:paraId="67DA6CFA" w14:textId="1172F8F3" w:rsidR="003F4C6D" w:rsidRPr="0061516E" w:rsidRDefault="003F4C6D" w:rsidP="003F4C6D">
                  <w:pPr>
                    <w:widowControl w:val="0"/>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t>First Aid- Ingestion</w:t>
                  </w:r>
                </w:p>
              </w:tc>
              <w:tc>
                <w:tcPr>
                  <w:tcW w:w="7888" w:type="dxa"/>
                </w:tcPr>
                <w:p w14:paraId="41938EAF" w14:textId="77777777" w:rsidR="003F4C6D" w:rsidRPr="0061516E" w:rsidRDefault="003F4C6D" w:rsidP="003F4C6D">
                  <w:pPr>
                    <w:widowControl w:val="0"/>
                    <w:numPr>
                      <w:ilvl w:val="0"/>
                      <w:numId w:val="23"/>
                    </w:numPr>
                    <w:rPr>
                      <w:rFonts w:asciiTheme="minorHAnsi" w:eastAsia="Times New Roman" w:hAnsiTheme="minorHAnsi" w:cs="Aparajita"/>
                      <w:snapToGrid w:val="0"/>
                      <w:sz w:val="22"/>
                      <w:szCs w:val="22"/>
                    </w:rPr>
                  </w:pPr>
                  <w:r w:rsidRPr="0061516E">
                    <w:rPr>
                      <w:rFonts w:asciiTheme="minorHAnsi" w:hAnsiTheme="minorHAnsi"/>
                      <w:sz w:val="22"/>
                      <w:szCs w:val="22"/>
                    </w:rPr>
                    <w:t xml:space="preserve">Immediately rinse the mouth with cold water. Do NOT induce vomiting. Do NOT give emetics or baking soda. </w:t>
                  </w:r>
                </w:p>
                <w:p w14:paraId="220AED9E" w14:textId="2FF41F4B" w:rsidR="003F4C6D" w:rsidRPr="00932766" w:rsidRDefault="003F4C6D" w:rsidP="003F4C6D">
                  <w:pPr>
                    <w:pStyle w:val="ListParagraph"/>
                    <w:widowControl w:val="0"/>
                    <w:numPr>
                      <w:ilvl w:val="0"/>
                      <w:numId w:val="23"/>
                    </w:numPr>
                    <w:spacing w:after="0" w:line="240" w:lineRule="auto"/>
                    <w:contextualSpacing w:val="0"/>
                    <w:rPr>
                      <w:rFonts w:eastAsia="Times New Roman" w:cs="Aparajita"/>
                      <w:snapToGrid w:val="0"/>
                    </w:rPr>
                  </w:pPr>
                  <w:r w:rsidRPr="0061516E">
                    <w:rPr>
                      <w:rFonts w:eastAsia="Times New Roman" w:cs="Aparajita"/>
                      <w:snapToGrid w:val="0"/>
                    </w:rPr>
                    <w:t>Have another person from the lab dial 911 and specifically mention exposure</w:t>
                  </w:r>
                  <w:r>
                    <w:rPr>
                      <w:rFonts w:eastAsia="Times New Roman" w:cs="Aparajita"/>
                      <w:snapToGrid w:val="0"/>
                    </w:rPr>
                    <w:t>.</w:t>
                  </w:r>
                </w:p>
              </w:tc>
            </w:tr>
            <w:tr w:rsidR="003F4C6D" w:rsidRPr="0061516E" w14:paraId="452C3C3C" w14:textId="77777777" w:rsidTr="00932766">
              <w:trPr>
                <w:trHeight w:val="863"/>
              </w:trPr>
              <w:tc>
                <w:tcPr>
                  <w:tcW w:w="2428" w:type="dxa"/>
                  <w:vAlign w:val="center"/>
                </w:tcPr>
                <w:p w14:paraId="7BF8DAA1" w14:textId="0004F26F" w:rsidR="003F4C6D" w:rsidRPr="0061516E" w:rsidRDefault="003F4C6D" w:rsidP="003F4C6D">
                  <w:pPr>
                    <w:widowControl w:val="0"/>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t>First Aid- Inhalation</w:t>
                  </w:r>
                </w:p>
              </w:tc>
              <w:tc>
                <w:tcPr>
                  <w:tcW w:w="7888" w:type="dxa"/>
                </w:tcPr>
                <w:p w14:paraId="14E857F0" w14:textId="77777777" w:rsidR="003F4C6D" w:rsidRPr="0061516E" w:rsidRDefault="003F4C6D" w:rsidP="003F4C6D">
                  <w:pPr>
                    <w:widowControl w:val="0"/>
                    <w:numPr>
                      <w:ilvl w:val="0"/>
                      <w:numId w:val="24"/>
                    </w:numPr>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t>Move to fresh air.</w:t>
                  </w:r>
                </w:p>
                <w:p w14:paraId="308258FF" w14:textId="77777777" w:rsidR="003F4C6D" w:rsidRPr="0061516E" w:rsidRDefault="003F4C6D" w:rsidP="003F4C6D">
                  <w:pPr>
                    <w:widowControl w:val="0"/>
                    <w:numPr>
                      <w:ilvl w:val="0"/>
                      <w:numId w:val="24"/>
                    </w:numPr>
                    <w:rPr>
                      <w:rFonts w:asciiTheme="minorHAnsi" w:eastAsia="Times New Roman" w:hAnsiTheme="minorHAnsi" w:cs="Aparajita"/>
                      <w:snapToGrid w:val="0"/>
                      <w:sz w:val="22"/>
                      <w:szCs w:val="22"/>
                    </w:rPr>
                  </w:pPr>
                  <w:r w:rsidRPr="0061516E">
                    <w:rPr>
                      <w:rFonts w:asciiTheme="minorHAnsi" w:eastAsia="Times New Roman" w:hAnsiTheme="minorHAnsi" w:cs="Aparajita"/>
                      <w:snapToGrid w:val="0"/>
                      <w:sz w:val="22"/>
                      <w:szCs w:val="22"/>
                    </w:rPr>
                    <w:t xml:space="preserve">Dial </w:t>
                  </w:r>
                  <w:r w:rsidRPr="0061516E">
                    <w:rPr>
                      <w:rFonts w:asciiTheme="minorHAnsi" w:eastAsia="Times New Roman" w:hAnsiTheme="minorHAnsi" w:cs="Aparajita"/>
                      <w:b/>
                      <w:snapToGrid w:val="0"/>
                      <w:sz w:val="22"/>
                      <w:szCs w:val="22"/>
                    </w:rPr>
                    <w:t>911.</w:t>
                  </w:r>
                </w:p>
                <w:p w14:paraId="08587925" w14:textId="484EACA9" w:rsidR="003F4C6D" w:rsidRPr="00932766" w:rsidRDefault="003F4C6D" w:rsidP="003F4C6D">
                  <w:pPr>
                    <w:widowControl w:val="0"/>
                    <w:numPr>
                      <w:ilvl w:val="0"/>
                      <w:numId w:val="24"/>
                    </w:numPr>
                    <w:rPr>
                      <w:rFonts w:asciiTheme="minorHAnsi" w:eastAsia="Times New Roman" w:hAnsiTheme="minorHAnsi" w:cs="Aparajita"/>
                      <w:snapToGrid w:val="0"/>
                      <w:sz w:val="22"/>
                      <w:szCs w:val="22"/>
                    </w:rPr>
                  </w:pPr>
                  <w:r w:rsidRPr="0061516E">
                    <w:rPr>
                      <w:rFonts w:asciiTheme="minorHAnsi" w:hAnsiTheme="minorHAnsi"/>
                      <w:sz w:val="22"/>
                      <w:szCs w:val="22"/>
                      <w:shd w:val="clear" w:color="auto" w:fill="FFFFFF"/>
                    </w:rPr>
                    <w:t>Inform emergency responders of accident involved.</w:t>
                  </w:r>
                </w:p>
              </w:tc>
            </w:tr>
          </w:tbl>
          <w:p w14:paraId="408BD668" w14:textId="7DF862C9" w:rsidR="003F4C6D" w:rsidRPr="0061516E" w:rsidRDefault="003F4C6D" w:rsidP="003F4C6D">
            <w:pPr>
              <w:widowControl w:val="0"/>
              <w:rPr>
                <w:rFonts w:asciiTheme="minorHAnsi" w:eastAsia="Times New Roman" w:hAnsiTheme="minorHAnsi" w:cs="Aparajita"/>
                <w:snapToGrid w:val="0"/>
                <w:sz w:val="22"/>
                <w:szCs w:val="22"/>
              </w:rPr>
            </w:pPr>
          </w:p>
        </w:tc>
      </w:tr>
      <w:tr w:rsidR="003F4C6D" w:rsidRPr="0061516E" w14:paraId="566F2DF2" w14:textId="77777777" w:rsidTr="000520B6">
        <w:trPr>
          <w:trHeight w:val="432"/>
          <w:jc w:val="center"/>
        </w:trPr>
        <w:tc>
          <w:tcPr>
            <w:tcW w:w="10434" w:type="dxa"/>
            <w:gridSpan w:val="2"/>
            <w:shd w:val="clear" w:color="auto" w:fill="000E2F"/>
            <w:vAlign w:val="center"/>
          </w:tcPr>
          <w:p w14:paraId="411825CE" w14:textId="77777777" w:rsidR="003F4C6D" w:rsidRPr="0061516E" w:rsidRDefault="003F4C6D" w:rsidP="003F4C6D">
            <w:pPr>
              <w:pStyle w:val="Heading1"/>
              <w:spacing w:before="80" w:after="80" w:line="240" w:lineRule="auto"/>
              <w:rPr>
                <w:rFonts w:asciiTheme="minorHAnsi" w:hAnsiTheme="minorHAnsi"/>
                <w:b/>
                <w:sz w:val="24"/>
                <w:szCs w:val="24"/>
              </w:rPr>
            </w:pPr>
            <w:r w:rsidRPr="0061516E">
              <w:rPr>
                <w:rFonts w:asciiTheme="minorHAnsi" w:hAnsiTheme="minorHAnsi"/>
                <w:b/>
                <w:color w:val="FFFFFF" w:themeColor="background1"/>
                <w:sz w:val="24"/>
                <w:szCs w:val="24"/>
              </w:rPr>
              <w:lastRenderedPageBreak/>
              <w:t>SECTION 9 – WASTE MANAGEMENT</w:t>
            </w:r>
          </w:p>
        </w:tc>
      </w:tr>
      <w:tr w:rsidR="003F4C6D" w:rsidRPr="0061516E" w14:paraId="107D0F8B" w14:textId="77777777" w:rsidTr="000520B6">
        <w:trPr>
          <w:trHeight w:val="3279"/>
          <w:jc w:val="center"/>
        </w:trPr>
        <w:tc>
          <w:tcPr>
            <w:tcW w:w="10434" w:type="dxa"/>
            <w:gridSpan w:val="2"/>
            <w:shd w:val="clear" w:color="auto" w:fill="FFFFFF" w:themeFill="background1"/>
            <w:vAlign w:val="center"/>
          </w:tcPr>
          <w:p w14:paraId="72CBF100" w14:textId="18883C56" w:rsidR="003F4C6D" w:rsidRPr="0061516E" w:rsidRDefault="003F4C6D" w:rsidP="003F4C6D">
            <w:pPr>
              <w:pStyle w:val="ListParagraph"/>
              <w:widowControl w:val="0"/>
              <w:numPr>
                <w:ilvl w:val="0"/>
                <w:numId w:val="7"/>
              </w:numPr>
              <w:spacing w:before="80" w:after="80" w:line="240" w:lineRule="auto"/>
              <w:rPr>
                <w:rFonts w:eastAsia="Times New Roman" w:cs="Aparajita"/>
                <w:snapToGrid w:val="0"/>
              </w:rPr>
            </w:pPr>
            <w:r w:rsidRPr="0061516E">
              <w:rPr>
                <w:rFonts w:eastAsia="Times New Roman" w:cs="Aparajita"/>
                <w:snapToGrid w:val="0"/>
              </w:rPr>
              <w:t>All waste should be disposed of after carful quenching using isopropanol under the fume hood. Allow the quenching reaction to come to completion (no further gas evolves)</w:t>
            </w:r>
            <w:r>
              <w:rPr>
                <w:rFonts w:eastAsia="Times New Roman" w:cs="Aparajita"/>
                <w:snapToGrid w:val="0"/>
              </w:rPr>
              <w:t>.</w:t>
            </w:r>
          </w:p>
          <w:p w14:paraId="19A6016F" w14:textId="4471FAC2" w:rsidR="003F4C6D" w:rsidRPr="0061516E" w:rsidRDefault="003F4C6D" w:rsidP="003F4C6D">
            <w:pPr>
              <w:pStyle w:val="ListParagraph"/>
              <w:widowControl w:val="0"/>
              <w:numPr>
                <w:ilvl w:val="0"/>
                <w:numId w:val="7"/>
              </w:numPr>
              <w:spacing w:before="80" w:after="80" w:line="240" w:lineRule="auto"/>
              <w:rPr>
                <w:rFonts w:eastAsia="Times New Roman" w:cs="Aparajita"/>
                <w:snapToGrid w:val="0"/>
              </w:rPr>
            </w:pPr>
            <w:r w:rsidRPr="0061516E">
              <w:rPr>
                <w:rFonts w:eastAsia="Times New Roman" w:cs="Aparajita"/>
                <w:snapToGrid w:val="0"/>
              </w:rPr>
              <w:t>Disposable syringes and needles need to disposed in the appropriate waste/sharps container after rinsing with isopropanol</w:t>
            </w:r>
            <w:r>
              <w:rPr>
                <w:rFonts w:eastAsia="Times New Roman" w:cs="Aparajita"/>
                <w:snapToGrid w:val="0"/>
              </w:rPr>
              <w:t>.</w:t>
            </w:r>
          </w:p>
          <w:p w14:paraId="75B87136" w14:textId="63ADAB0F" w:rsidR="003F4C6D" w:rsidRPr="0061516E" w:rsidRDefault="003F4C6D" w:rsidP="003F4C6D">
            <w:pPr>
              <w:pStyle w:val="ListParagraph"/>
              <w:widowControl w:val="0"/>
              <w:numPr>
                <w:ilvl w:val="0"/>
                <w:numId w:val="7"/>
              </w:numPr>
              <w:spacing w:before="80" w:after="80" w:line="240" w:lineRule="auto"/>
              <w:rPr>
                <w:rFonts w:eastAsia="Times New Roman" w:cs="Aparajita"/>
                <w:snapToGrid w:val="0"/>
              </w:rPr>
            </w:pPr>
            <w:r w:rsidRPr="0061516E">
              <w:rPr>
                <w:rFonts w:eastAsia="Times New Roman" w:cs="Aparajita"/>
                <w:snapToGrid w:val="0"/>
              </w:rPr>
              <w:t>All quenched chemical waste must be labeled with “Hazardous Waste” stickers or tags, use full chemical names to describe the waste, be stored in sturdy, plastic containers with tight-fitting caps or lids, and be stored alone or with other compatible chemicals</w:t>
            </w:r>
            <w:r>
              <w:rPr>
                <w:rFonts w:eastAsia="Times New Roman" w:cs="Aparajita"/>
                <w:snapToGrid w:val="0"/>
              </w:rPr>
              <w:t>.</w:t>
            </w:r>
          </w:p>
          <w:p w14:paraId="05CBAE84" w14:textId="2B536AFE" w:rsidR="003F4C6D" w:rsidRPr="0061516E" w:rsidRDefault="003F4C6D" w:rsidP="003F4C6D">
            <w:pPr>
              <w:pStyle w:val="ListParagraph"/>
              <w:numPr>
                <w:ilvl w:val="0"/>
                <w:numId w:val="7"/>
              </w:numPr>
              <w:spacing w:after="0" w:line="240" w:lineRule="auto"/>
              <w:rPr>
                <w:rFonts w:eastAsia="Times New Roman" w:cs="Times New Roman"/>
              </w:rPr>
            </w:pPr>
            <w:r w:rsidRPr="0061516E">
              <w:rPr>
                <w:rFonts w:eastAsia="Times New Roman" w:cs="Aparajita"/>
                <w:snapToGrid w:val="0"/>
              </w:rPr>
              <w:t xml:space="preserve">Hazardous wastes must be stored at or near a green “Satellite Accumulation Area” sign prior to disposal by EH&amp;S. Once the containers are 80% filled, fill our EH&amp;S chemical waste pickup form: </w:t>
            </w:r>
            <w:hyperlink r:id="rId9" w:history="1">
              <w:r w:rsidRPr="0061516E">
                <w:rPr>
                  <w:rStyle w:val="Hyperlink"/>
                  <w:rFonts w:eastAsia="Times New Roman" w:cs="Aparajita"/>
                  <w:snapToGrid w:val="0"/>
                </w:rPr>
                <w:t>esh.uconn.edu/Regulated%20Waste%20Management/</w:t>
              </w:r>
              <w:proofErr w:type="spellStart"/>
              <w:r w:rsidRPr="0061516E">
                <w:rPr>
                  <w:rStyle w:val="Hyperlink"/>
                  <w:rFonts w:eastAsia="Times New Roman" w:cs="Aparajita"/>
                  <w:snapToGrid w:val="0"/>
                </w:rPr>
                <w:t>index.php</w:t>
              </w:r>
              <w:proofErr w:type="spellEnd"/>
            </w:hyperlink>
          </w:p>
          <w:p w14:paraId="4BA19279" w14:textId="3A3C697E" w:rsidR="003F4C6D" w:rsidRPr="0061516E" w:rsidRDefault="003F4C6D" w:rsidP="003F4C6D">
            <w:pPr>
              <w:pStyle w:val="ListParagraph"/>
              <w:widowControl w:val="0"/>
              <w:numPr>
                <w:ilvl w:val="0"/>
                <w:numId w:val="7"/>
              </w:numPr>
              <w:spacing w:before="80" w:after="80" w:line="240" w:lineRule="auto"/>
              <w:rPr>
                <w:rFonts w:eastAsia="Times New Roman" w:cs="Aparajita"/>
                <w:snapToGrid w:val="0"/>
              </w:rPr>
            </w:pPr>
            <w:r w:rsidRPr="0061516E">
              <w:rPr>
                <w:rFonts w:eastAsia="Times New Roman" w:cs="Aparajita"/>
                <w:snapToGrid w:val="0"/>
              </w:rPr>
              <w:t xml:space="preserve">The </w:t>
            </w:r>
            <w:hyperlink r:id="rId10" w:history="1">
              <w:r w:rsidRPr="0061516E">
                <w:rPr>
                  <w:rStyle w:val="Hyperlink"/>
                  <w:rFonts w:eastAsia="Times New Roman" w:cs="Aparajita"/>
                  <w:snapToGrid w:val="0"/>
                </w:rPr>
                <w:t>Chemical Waste Disposal Manual</w:t>
              </w:r>
            </w:hyperlink>
            <w:r w:rsidRPr="0061516E">
              <w:rPr>
                <w:rFonts w:eastAsia="Times New Roman" w:cs="Aparajita"/>
                <w:snapToGrid w:val="0"/>
              </w:rPr>
              <w:t xml:space="preserve"> must be used as a reference</w:t>
            </w:r>
          </w:p>
        </w:tc>
      </w:tr>
      <w:tr w:rsidR="003F4C6D" w:rsidRPr="0061516E" w14:paraId="67ADF420" w14:textId="77777777" w:rsidTr="000520B6">
        <w:trPr>
          <w:trHeight w:val="432"/>
          <w:jc w:val="center"/>
        </w:trPr>
        <w:tc>
          <w:tcPr>
            <w:tcW w:w="10434" w:type="dxa"/>
            <w:gridSpan w:val="2"/>
            <w:shd w:val="clear" w:color="auto" w:fill="000E2F"/>
            <w:vAlign w:val="center"/>
          </w:tcPr>
          <w:p w14:paraId="28C9FAF9" w14:textId="77777777" w:rsidR="003F4C6D" w:rsidRPr="0061516E" w:rsidRDefault="003F4C6D" w:rsidP="003F4C6D">
            <w:pPr>
              <w:pStyle w:val="Heading1"/>
              <w:spacing w:before="80" w:after="80"/>
              <w:rPr>
                <w:rFonts w:asciiTheme="minorHAnsi" w:hAnsiTheme="minorHAnsi"/>
                <w:b/>
                <w:sz w:val="24"/>
                <w:szCs w:val="24"/>
              </w:rPr>
            </w:pPr>
            <w:r w:rsidRPr="0061516E">
              <w:rPr>
                <w:rFonts w:asciiTheme="minorHAnsi" w:hAnsiTheme="minorHAnsi"/>
                <w:b/>
                <w:color w:val="F2F2F2" w:themeColor="background1" w:themeShade="F2"/>
                <w:sz w:val="24"/>
                <w:szCs w:val="24"/>
              </w:rPr>
              <w:t>SECTION 10 – DECONTAMINATION PROCEDURES</w:t>
            </w:r>
          </w:p>
        </w:tc>
      </w:tr>
      <w:tr w:rsidR="003F4C6D" w:rsidRPr="0061516E" w14:paraId="756CAA76" w14:textId="77777777" w:rsidTr="000520B6">
        <w:trPr>
          <w:trHeight w:val="432"/>
          <w:jc w:val="center"/>
        </w:trPr>
        <w:tc>
          <w:tcPr>
            <w:tcW w:w="10434" w:type="dxa"/>
            <w:gridSpan w:val="2"/>
            <w:shd w:val="clear" w:color="auto" w:fill="FFFFFF" w:themeFill="background1"/>
            <w:vAlign w:val="center"/>
          </w:tcPr>
          <w:p w14:paraId="7D7EB2CF" w14:textId="08FEEAB7" w:rsidR="003F4C6D" w:rsidRPr="0061516E" w:rsidRDefault="003F4C6D" w:rsidP="003F4C6D">
            <w:pPr>
              <w:pStyle w:val="ListParagraph"/>
              <w:spacing w:after="0" w:line="240" w:lineRule="auto"/>
              <w:ind w:left="335"/>
              <w:rPr>
                <w:rFonts w:eastAsia="Times New Roman" w:cs="Times New Roman"/>
              </w:rPr>
            </w:pPr>
            <w:r w:rsidRPr="0061516E">
              <w:rPr>
                <w:rFonts w:eastAsia="Times New Roman" w:cs="Aparajita"/>
                <w:snapToGrid w:val="0"/>
              </w:rPr>
              <w:t>Work Area</w:t>
            </w:r>
            <w:r>
              <w:rPr>
                <w:rFonts w:eastAsia="Times New Roman" w:cs="Aparajita"/>
                <w:snapToGrid w:val="0"/>
              </w:rPr>
              <w:t>:</w:t>
            </w:r>
          </w:p>
          <w:p w14:paraId="7272403E" w14:textId="369D5A7A" w:rsidR="003F4C6D" w:rsidRPr="0061516E" w:rsidRDefault="003F4C6D" w:rsidP="003F4C6D">
            <w:pPr>
              <w:pStyle w:val="ListParagraph"/>
              <w:numPr>
                <w:ilvl w:val="0"/>
                <w:numId w:val="7"/>
              </w:numPr>
              <w:spacing w:after="0" w:line="240" w:lineRule="auto"/>
              <w:rPr>
                <w:rFonts w:eastAsia="Times New Roman" w:cs="Times New Roman"/>
              </w:rPr>
            </w:pPr>
            <w:r w:rsidRPr="0061516E">
              <w:rPr>
                <w:rFonts w:eastAsia="Times New Roman" w:cs="Times New Roman"/>
              </w:rPr>
              <w:t>Collect all of the hydride in a suitable and carefully and completely quenched the hydride with isopropanol. Dispose in the appropriate waste container</w:t>
            </w:r>
          </w:p>
          <w:p w14:paraId="55D788EE" w14:textId="46C26232" w:rsidR="003F4C6D" w:rsidRPr="0061516E" w:rsidRDefault="003F4C6D" w:rsidP="003F4C6D">
            <w:pPr>
              <w:pStyle w:val="ListParagraph"/>
              <w:numPr>
                <w:ilvl w:val="0"/>
                <w:numId w:val="7"/>
              </w:numPr>
              <w:spacing w:after="0" w:line="240" w:lineRule="auto"/>
              <w:rPr>
                <w:rFonts w:eastAsia="Times New Roman" w:cs="Times New Roman"/>
              </w:rPr>
            </w:pPr>
            <w:r w:rsidRPr="0061516E">
              <w:rPr>
                <w:rFonts w:eastAsia="Times New Roman" w:cs="Times New Roman"/>
              </w:rPr>
              <w:t>Glassware should be cleaned within a few seconds of use</w:t>
            </w:r>
          </w:p>
          <w:p w14:paraId="1B6C3948" w14:textId="31D0C5C1" w:rsidR="003F4C6D" w:rsidRPr="0061516E" w:rsidRDefault="003F4C6D" w:rsidP="003F4C6D">
            <w:pPr>
              <w:pStyle w:val="ListParagraph"/>
              <w:widowControl w:val="0"/>
              <w:numPr>
                <w:ilvl w:val="0"/>
                <w:numId w:val="7"/>
              </w:numPr>
              <w:spacing w:after="0" w:line="240" w:lineRule="auto"/>
              <w:rPr>
                <w:rFonts w:eastAsia="Times New Roman" w:cs="Aparajita"/>
                <w:snapToGrid w:val="0"/>
              </w:rPr>
            </w:pPr>
            <w:r w:rsidRPr="0061516E">
              <w:rPr>
                <w:rFonts w:eastAsia="Times New Roman" w:cs="Aparajita"/>
                <w:snapToGrid w:val="0"/>
                <w:color w:val="000000" w:themeColor="text1"/>
              </w:rPr>
              <w:t xml:space="preserve">Removal - Equipment can be decontaminated through a water rinse using a pressurized or gravity flow </w:t>
            </w:r>
          </w:p>
          <w:p w14:paraId="177B6F61" w14:textId="367F15BE" w:rsidR="003F4C6D" w:rsidRPr="0061516E" w:rsidRDefault="003F4C6D" w:rsidP="003F4C6D">
            <w:pPr>
              <w:pStyle w:val="ListParagraph"/>
              <w:widowControl w:val="0"/>
              <w:numPr>
                <w:ilvl w:val="0"/>
                <w:numId w:val="7"/>
              </w:numPr>
              <w:spacing w:before="80" w:after="80" w:line="240" w:lineRule="auto"/>
              <w:rPr>
                <w:rFonts w:eastAsia="Times New Roman" w:cs="Aparajita"/>
                <w:snapToGrid w:val="0"/>
              </w:rPr>
            </w:pPr>
            <w:r w:rsidRPr="0061516E">
              <w:rPr>
                <w:rFonts w:eastAsia="Times New Roman" w:cs="Aparajita"/>
                <w:snapToGrid w:val="0"/>
                <w:color w:val="000000" w:themeColor="text1"/>
              </w:rPr>
              <w:t>Solidifying liquid or gel contaminants to enhance physical removal</w:t>
            </w:r>
          </w:p>
        </w:tc>
      </w:tr>
      <w:tr w:rsidR="003F4C6D" w:rsidRPr="0061516E" w14:paraId="42E62999" w14:textId="77777777" w:rsidTr="000520B6">
        <w:trPr>
          <w:trHeight w:val="432"/>
          <w:jc w:val="center"/>
        </w:trPr>
        <w:tc>
          <w:tcPr>
            <w:tcW w:w="10434" w:type="dxa"/>
            <w:gridSpan w:val="2"/>
            <w:shd w:val="clear" w:color="auto" w:fill="000E2F"/>
            <w:vAlign w:val="center"/>
          </w:tcPr>
          <w:p w14:paraId="64D462FB" w14:textId="77777777" w:rsidR="003F4C6D" w:rsidRPr="0061516E" w:rsidRDefault="003F4C6D" w:rsidP="003F4C6D">
            <w:pPr>
              <w:pStyle w:val="Heading1"/>
              <w:spacing w:before="80" w:after="80"/>
              <w:rPr>
                <w:rFonts w:asciiTheme="minorHAnsi" w:hAnsiTheme="minorHAnsi"/>
                <w:b/>
                <w:sz w:val="24"/>
                <w:szCs w:val="24"/>
              </w:rPr>
            </w:pPr>
            <w:r w:rsidRPr="0061516E">
              <w:rPr>
                <w:rFonts w:asciiTheme="minorHAnsi" w:hAnsiTheme="minorHAnsi"/>
                <w:b/>
                <w:color w:val="FFFFFF" w:themeColor="background1"/>
                <w:sz w:val="24"/>
                <w:szCs w:val="24"/>
              </w:rPr>
              <w:t>SECTION 11 – SPECIFIC PROCEDURE</w:t>
            </w:r>
          </w:p>
        </w:tc>
      </w:tr>
      <w:tr w:rsidR="003F4C6D" w:rsidRPr="0061516E" w14:paraId="52BB04B9" w14:textId="77777777" w:rsidTr="000520B6">
        <w:trPr>
          <w:trHeight w:val="432"/>
          <w:jc w:val="center"/>
        </w:trPr>
        <w:tc>
          <w:tcPr>
            <w:tcW w:w="10434" w:type="dxa"/>
            <w:gridSpan w:val="2"/>
            <w:shd w:val="clear" w:color="auto" w:fill="FFFFFF" w:themeFill="background1"/>
            <w:vAlign w:val="center"/>
          </w:tcPr>
          <w:p w14:paraId="6F8B5730" w14:textId="2B09BF11" w:rsidR="003F4C6D" w:rsidRPr="0061516E" w:rsidRDefault="003F4C6D" w:rsidP="003F4C6D">
            <w:pPr>
              <w:pStyle w:val="EndNoteBibliography"/>
              <w:spacing w:after="120"/>
              <w:rPr>
                <w:rFonts w:asciiTheme="minorHAnsi" w:hAnsiTheme="minorHAnsi"/>
                <w:noProof/>
              </w:rPr>
            </w:pPr>
            <w:r w:rsidRPr="0061516E">
              <w:rPr>
                <w:rFonts w:asciiTheme="minorHAnsi" w:eastAsia="Times New Roman" w:hAnsiTheme="minorHAnsi" w:cs="Aparajita"/>
                <w:snapToGrid w:val="0"/>
              </w:rPr>
              <w:t>A typical use of DIBAL-H can be found in</w:t>
            </w:r>
            <w:r w:rsidRPr="0061516E">
              <w:rPr>
                <w:rFonts w:asciiTheme="minorHAnsi" w:hAnsiTheme="minorHAnsi"/>
                <w:noProof/>
              </w:rPr>
              <w:t xml:space="preserve">: Brückner, C.; Ogikubo, J.; McCarthy, J. R.; Akhigbe, J.; Hyland, M. A.; Daddario, P.; Worlinsky, J. L.; Zeller, M.; Engle, J. T.; Ziegler, C. J.; Ranaghan, M. J.; Sandberg, M. N.; Birge, R. R., meso-Arylporpholactones and their Reduction Products. </w:t>
            </w:r>
            <w:r w:rsidRPr="0061516E">
              <w:rPr>
                <w:rFonts w:asciiTheme="minorHAnsi" w:hAnsiTheme="minorHAnsi"/>
                <w:i/>
                <w:noProof/>
              </w:rPr>
              <w:t xml:space="preserve">J. Org. Chem. </w:t>
            </w:r>
            <w:r w:rsidRPr="0061516E">
              <w:rPr>
                <w:rFonts w:asciiTheme="minorHAnsi" w:hAnsiTheme="minorHAnsi"/>
                <w:b/>
                <w:noProof/>
              </w:rPr>
              <w:t>2012,</w:t>
            </w:r>
            <w:r w:rsidRPr="0061516E">
              <w:rPr>
                <w:rFonts w:asciiTheme="minorHAnsi" w:hAnsiTheme="minorHAnsi"/>
                <w:noProof/>
              </w:rPr>
              <w:t xml:space="preserve"> </w:t>
            </w:r>
            <w:r w:rsidRPr="0061516E">
              <w:rPr>
                <w:rFonts w:asciiTheme="minorHAnsi" w:hAnsiTheme="minorHAnsi"/>
                <w:i/>
                <w:noProof/>
              </w:rPr>
              <w:t>77</w:t>
            </w:r>
            <w:r w:rsidRPr="0061516E">
              <w:rPr>
                <w:rFonts w:asciiTheme="minorHAnsi" w:hAnsiTheme="minorHAnsi"/>
                <w:noProof/>
              </w:rPr>
              <w:t xml:space="preserve"> (15), 6480-6494.</w:t>
            </w:r>
          </w:p>
          <w:p w14:paraId="748A1B3C" w14:textId="0FBD039B" w:rsidR="003F4C6D" w:rsidRPr="0061516E" w:rsidRDefault="003F4C6D" w:rsidP="003F4C6D">
            <w:pPr>
              <w:spacing w:after="120"/>
              <w:rPr>
                <w:rFonts w:asciiTheme="minorHAnsi" w:eastAsia="Times New Roman" w:hAnsiTheme="minorHAnsi"/>
                <w:b/>
                <w:i/>
                <w:sz w:val="22"/>
                <w:szCs w:val="22"/>
              </w:rPr>
            </w:pPr>
            <w:r w:rsidRPr="0061516E">
              <w:rPr>
                <w:rFonts w:asciiTheme="minorHAnsi" w:eastAsia="Times New Roman" w:hAnsiTheme="minorHAnsi"/>
                <w:b/>
                <w:i/>
                <w:sz w:val="22"/>
                <w:szCs w:val="22"/>
              </w:rPr>
              <w:t>General Procedure for the</w:t>
            </w:r>
            <w:r>
              <w:rPr>
                <w:rFonts w:asciiTheme="minorHAnsi" w:eastAsia="Times New Roman" w:hAnsiTheme="minorHAnsi"/>
                <w:b/>
                <w:i/>
                <w:sz w:val="22"/>
                <w:szCs w:val="22"/>
              </w:rPr>
              <w:t xml:space="preserve"> Preparation of Hemiacetals</w:t>
            </w:r>
            <w:r w:rsidRPr="0061516E">
              <w:rPr>
                <w:rFonts w:asciiTheme="minorHAnsi" w:eastAsia="Times New Roman" w:hAnsiTheme="minorHAnsi"/>
                <w:b/>
                <w:i/>
                <w:sz w:val="22"/>
                <w:szCs w:val="22"/>
              </w:rPr>
              <w:t xml:space="preserve"> by </w:t>
            </w:r>
            <w:proofErr w:type="spellStart"/>
            <w:r w:rsidRPr="0061516E">
              <w:rPr>
                <w:rFonts w:asciiTheme="minorHAnsi" w:eastAsia="Times New Roman" w:hAnsiTheme="minorHAnsi"/>
                <w:b/>
                <w:i/>
                <w:sz w:val="22"/>
                <w:szCs w:val="22"/>
              </w:rPr>
              <w:t>D</w:t>
            </w:r>
            <w:r>
              <w:rPr>
                <w:rFonts w:asciiTheme="minorHAnsi" w:eastAsia="Times New Roman" w:hAnsiTheme="minorHAnsi"/>
                <w:b/>
                <w:i/>
                <w:sz w:val="22"/>
                <w:szCs w:val="22"/>
              </w:rPr>
              <w:t>IBAl</w:t>
            </w:r>
            <w:proofErr w:type="spellEnd"/>
            <w:r>
              <w:rPr>
                <w:rFonts w:asciiTheme="minorHAnsi" w:eastAsia="Times New Roman" w:hAnsiTheme="minorHAnsi"/>
                <w:b/>
                <w:i/>
                <w:sz w:val="22"/>
                <w:szCs w:val="22"/>
              </w:rPr>
              <w:t xml:space="preserve">-H Reduction of Lactones </w:t>
            </w:r>
          </w:p>
          <w:p w14:paraId="2C6B7006" w14:textId="18A6D74C" w:rsidR="003F4C6D" w:rsidRPr="0061516E" w:rsidRDefault="003F4C6D" w:rsidP="003F4C6D">
            <w:pPr>
              <w:spacing w:after="120"/>
              <w:rPr>
                <w:rFonts w:asciiTheme="minorHAnsi" w:eastAsia="Times New Roman" w:hAnsiTheme="minorHAnsi"/>
                <w:sz w:val="22"/>
                <w:szCs w:val="22"/>
              </w:rPr>
            </w:pPr>
            <w:r w:rsidRPr="0061516E">
              <w:rPr>
                <w:rFonts w:asciiTheme="minorHAnsi" w:eastAsia="Times New Roman" w:hAnsiTheme="minorHAnsi"/>
                <w:sz w:val="22"/>
                <w:szCs w:val="22"/>
              </w:rPr>
              <w:t>[</w:t>
            </w:r>
            <w:proofErr w:type="spellStart"/>
            <w:r w:rsidRPr="0061516E">
              <w:rPr>
                <w:rFonts w:asciiTheme="minorHAnsi" w:eastAsia="Times New Roman" w:hAnsiTheme="minorHAnsi"/>
                <w:i/>
                <w:sz w:val="22"/>
                <w:szCs w:val="22"/>
              </w:rPr>
              <w:t>meso-</w:t>
            </w:r>
            <w:proofErr w:type="gramStart"/>
            <w:r w:rsidRPr="0061516E">
              <w:rPr>
                <w:rFonts w:asciiTheme="minorHAnsi" w:eastAsia="Times New Roman" w:hAnsiTheme="minorHAnsi"/>
                <w:sz w:val="22"/>
                <w:szCs w:val="22"/>
              </w:rPr>
              <w:t>Tetraphenylporpholactonato</w:t>
            </w:r>
            <w:proofErr w:type="spellEnd"/>
            <w:r w:rsidRPr="0061516E">
              <w:rPr>
                <w:rFonts w:asciiTheme="minorHAnsi" w:eastAsia="Times New Roman" w:hAnsiTheme="minorHAnsi"/>
                <w:sz w:val="22"/>
                <w:szCs w:val="22"/>
              </w:rPr>
              <w:t>]Zn</w:t>
            </w:r>
            <w:proofErr w:type="gramEnd"/>
            <w:r w:rsidRPr="0061516E">
              <w:rPr>
                <w:rFonts w:asciiTheme="minorHAnsi" w:eastAsia="Times New Roman" w:hAnsiTheme="minorHAnsi"/>
                <w:sz w:val="22"/>
                <w:szCs w:val="22"/>
              </w:rPr>
              <w:t xml:space="preserve"> complex (1.4 × 10−4 </w:t>
            </w:r>
            <w:proofErr w:type="spellStart"/>
            <w:r w:rsidRPr="0061516E">
              <w:rPr>
                <w:rFonts w:asciiTheme="minorHAnsi" w:eastAsia="Times New Roman" w:hAnsiTheme="minorHAnsi"/>
                <w:sz w:val="22"/>
                <w:szCs w:val="22"/>
              </w:rPr>
              <w:t>mol</w:t>
            </w:r>
            <w:proofErr w:type="spellEnd"/>
            <w:r w:rsidRPr="0061516E">
              <w:rPr>
                <w:rFonts w:asciiTheme="minorHAnsi" w:eastAsia="Times New Roman" w:hAnsiTheme="minorHAnsi"/>
                <w:sz w:val="22"/>
                <w:szCs w:val="22"/>
              </w:rPr>
              <w:t xml:space="preserve">, </w:t>
            </w:r>
            <w:r w:rsidRPr="0061516E">
              <w:rPr>
                <w:rFonts w:ascii="MS Mincho" w:eastAsia="MS Mincho" w:hAnsi="MS Mincho" w:cs="MS Mincho"/>
                <w:sz w:val="22"/>
                <w:szCs w:val="22"/>
              </w:rPr>
              <w:t>∼</w:t>
            </w:r>
            <w:r w:rsidRPr="0061516E">
              <w:rPr>
                <w:rFonts w:asciiTheme="minorHAnsi" w:eastAsia="Times New Roman" w:hAnsiTheme="minorHAnsi"/>
                <w:sz w:val="22"/>
                <w:szCs w:val="22"/>
              </w:rPr>
              <w:t>95 mg) were dissolved under an atmosphere of N</w:t>
            </w:r>
            <w:r w:rsidRPr="0061516E">
              <w:rPr>
                <w:rFonts w:asciiTheme="minorHAnsi" w:eastAsia="Times New Roman" w:hAnsiTheme="minorHAnsi"/>
                <w:sz w:val="22"/>
                <w:szCs w:val="22"/>
                <w:vertAlign w:val="subscript"/>
              </w:rPr>
              <w:t>2</w:t>
            </w:r>
            <w:r w:rsidRPr="0061516E">
              <w:rPr>
                <w:rFonts w:asciiTheme="minorHAnsi" w:eastAsia="Times New Roman" w:hAnsiTheme="minorHAnsi"/>
                <w:sz w:val="22"/>
                <w:szCs w:val="22"/>
              </w:rPr>
              <w:t xml:space="preserve"> in dry THF (20−25 mL) and cooled to −78 °C. To it was added 20% </w:t>
            </w:r>
            <w:proofErr w:type="spellStart"/>
            <w:r w:rsidRPr="0061516E">
              <w:rPr>
                <w:rFonts w:asciiTheme="minorHAnsi" w:eastAsia="Times New Roman" w:hAnsiTheme="minorHAnsi"/>
                <w:sz w:val="22"/>
                <w:szCs w:val="22"/>
              </w:rPr>
              <w:t>DIBAl</w:t>
            </w:r>
            <w:proofErr w:type="spellEnd"/>
            <w:r w:rsidRPr="0061516E">
              <w:rPr>
                <w:rFonts w:asciiTheme="minorHAnsi" w:eastAsia="Times New Roman" w:hAnsiTheme="minorHAnsi"/>
                <w:sz w:val="22"/>
                <w:szCs w:val="22"/>
              </w:rPr>
              <w:t xml:space="preserve">-H (1.0 mL of a 20 </w:t>
            </w:r>
            <w:proofErr w:type="spellStart"/>
            <w:r w:rsidRPr="0061516E">
              <w:rPr>
                <w:rFonts w:asciiTheme="minorHAnsi" w:eastAsia="Times New Roman" w:hAnsiTheme="minorHAnsi"/>
                <w:sz w:val="22"/>
                <w:szCs w:val="22"/>
              </w:rPr>
              <w:t>wt</w:t>
            </w:r>
            <w:proofErr w:type="spellEnd"/>
            <w:r w:rsidRPr="0061516E">
              <w:rPr>
                <w:rFonts w:asciiTheme="minorHAnsi" w:eastAsia="Times New Roman" w:hAnsiTheme="minorHAnsi"/>
                <w:sz w:val="22"/>
                <w:szCs w:val="22"/>
              </w:rPr>
              <w:t xml:space="preserve"> % solution in hexane, </w:t>
            </w:r>
            <w:r w:rsidRPr="0061516E">
              <w:rPr>
                <w:rFonts w:ascii="MS Mincho" w:eastAsia="MS Mincho" w:hAnsi="MS Mincho" w:cs="MS Mincho"/>
                <w:sz w:val="22"/>
                <w:szCs w:val="22"/>
              </w:rPr>
              <w:t>∼</w:t>
            </w:r>
            <w:r w:rsidRPr="0061516E">
              <w:rPr>
                <w:rFonts w:asciiTheme="minorHAnsi" w:eastAsia="Times New Roman" w:hAnsiTheme="minorHAnsi"/>
                <w:sz w:val="22"/>
                <w:szCs w:val="22"/>
              </w:rPr>
              <w:t xml:space="preserve">7.0 </w:t>
            </w:r>
            <w:proofErr w:type="spellStart"/>
            <w:r w:rsidRPr="0061516E">
              <w:rPr>
                <w:rFonts w:asciiTheme="minorHAnsi" w:eastAsia="Times New Roman" w:hAnsiTheme="minorHAnsi"/>
                <w:sz w:val="22"/>
                <w:szCs w:val="22"/>
              </w:rPr>
              <w:t>equiv</w:t>
            </w:r>
            <w:proofErr w:type="spellEnd"/>
            <w:r w:rsidRPr="0061516E">
              <w:rPr>
                <w:rFonts w:asciiTheme="minorHAnsi" w:eastAsia="Times New Roman" w:hAnsiTheme="minorHAnsi"/>
                <w:sz w:val="22"/>
                <w:szCs w:val="22"/>
              </w:rPr>
              <w:t>). The reaction mixture stirred for 60 min at this temperature and then allowed to warm to ambient temperature. A noticeable color change from green to blue took place during this time. Once warm, the reaction was quenched by addition of a few drops of water. The solutio</w:t>
            </w:r>
            <w:r>
              <w:rPr>
                <w:rFonts w:asciiTheme="minorHAnsi" w:eastAsia="Times New Roman" w:hAnsiTheme="minorHAnsi"/>
                <w:sz w:val="22"/>
                <w:szCs w:val="22"/>
              </w:rPr>
              <w:t>n was then transferred to a sepa</w:t>
            </w:r>
            <w:r w:rsidRPr="0061516E">
              <w:rPr>
                <w:rFonts w:asciiTheme="minorHAnsi" w:eastAsia="Times New Roman" w:hAnsiTheme="minorHAnsi"/>
                <w:sz w:val="22"/>
                <w:szCs w:val="22"/>
              </w:rPr>
              <w:t>ratory funnel, diluted with CH</w:t>
            </w:r>
            <w:r w:rsidRPr="0061516E">
              <w:rPr>
                <w:rFonts w:asciiTheme="minorHAnsi" w:eastAsia="Times New Roman" w:hAnsiTheme="minorHAnsi"/>
                <w:sz w:val="22"/>
                <w:szCs w:val="22"/>
                <w:vertAlign w:val="subscript"/>
              </w:rPr>
              <w:t>2</w:t>
            </w:r>
            <w:r w:rsidRPr="0061516E">
              <w:rPr>
                <w:rFonts w:asciiTheme="minorHAnsi" w:eastAsia="Times New Roman" w:hAnsiTheme="minorHAnsi"/>
                <w:sz w:val="22"/>
                <w:szCs w:val="22"/>
              </w:rPr>
              <w:t>Cl</w:t>
            </w:r>
            <w:r w:rsidRPr="0061516E">
              <w:rPr>
                <w:rFonts w:asciiTheme="minorHAnsi" w:eastAsia="Times New Roman" w:hAnsiTheme="minorHAnsi"/>
                <w:sz w:val="22"/>
                <w:szCs w:val="22"/>
                <w:vertAlign w:val="subscript"/>
              </w:rPr>
              <w:t>2</w:t>
            </w:r>
            <w:r w:rsidRPr="0061516E">
              <w:rPr>
                <w:rFonts w:asciiTheme="minorHAnsi" w:eastAsia="Times New Roman" w:hAnsiTheme="minorHAnsi"/>
                <w:sz w:val="22"/>
                <w:szCs w:val="22"/>
              </w:rPr>
              <w:t xml:space="preserve"> (</w:t>
            </w:r>
            <w:r w:rsidRPr="0061516E">
              <w:rPr>
                <w:rFonts w:ascii="MS Mincho" w:eastAsia="MS Mincho" w:hAnsi="MS Mincho" w:cs="MS Mincho"/>
                <w:sz w:val="22"/>
                <w:szCs w:val="22"/>
              </w:rPr>
              <w:t>∼</w:t>
            </w:r>
            <w:r w:rsidRPr="0061516E">
              <w:rPr>
                <w:rFonts w:asciiTheme="minorHAnsi" w:eastAsia="Times New Roman" w:hAnsiTheme="minorHAnsi"/>
                <w:sz w:val="22"/>
                <w:szCs w:val="22"/>
              </w:rPr>
              <w:t xml:space="preserve">25 mL), washed twice with 0.1 M aq. </w:t>
            </w:r>
            <w:proofErr w:type="spellStart"/>
            <w:r w:rsidRPr="0061516E">
              <w:rPr>
                <w:rFonts w:asciiTheme="minorHAnsi" w:eastAsia="Times New Roman" w:hAnsiTheme="minorHAnsi"/>
                <w:sz w:val="22"/>
                <w:szCs w:val="22"/>
              </w:rPr>
              <w:t>HCl</w:t>
            </w:r>
            <w:proofErr w:type="spellEnd"/>
            <w:r w:rsidRPr="0061516E">
              <w:rPr>
                <w:rFonts w:asciiTheme="minorHAnsi" w:eastAsia="Times New Roman" w:hAnsiTheme="minorHAnsi"/>
                <w:sz w:val="22"/>
                <w:szCs w:val="22"/>
              </w:rPr>
              <w:t>, and once with H</w:t>
            </w:r>
            <w:r w:rsidRPr="0061516E">
              <w:rPr>
                <w:rFonts w:asciiTheme="minorHAnsi" w:eastAsia="Times New Roman" w:hAnsiTheme="minorHAnsi"/>
                <w:sz w:val="22"/>
                <w:szCs w:val="22"/>
                <w:vertAlign w:val="subscript"/>
              </w:rPr>
              <w:t>2</w:t>
            </w:r>
            <w:r w:rsidRPr="0061516E">
              <w:rPr>
                <w:rFonts w:asciiTheme="minorHAnsi" w:eastAsia="Times New Roman" w:hAnsiTheme="minorHAnsi"/>
                <w:sz w:val="22"/>
                <w:szCs w:val="22"/>
              </w:rPr>
              <w:t>O. The organic layer was</w:t>
            </w:r>
            <w:r>
              <w:rPr>
                <w:rFonts w:asciiTheme="minorHAnsi" w:eastAsia="Times New Roman" w:hAnsiTheme="minorHAnsi"/>
                <w:sz w:val="22"/>
                <w:szCs w:val="22"/>
              </w:rPr>
              <w:t xml:space="preserve"> collected and dried over anhydrous</w:t>
            </w:r>
            <w:r w:rsidRPr="0061516E">
              <w:rPr>
                <w:rFonts w:asciiTheme="minorHAnsi" w:eastAsia="Times New Roman" w:hAnsiTheme="minorHAnsi"/>
                <w:sz w:val="22"/>
                <w:szCs w:val="22"/>
              </w:rPr>
              <w:t xml:space="preserve"> MgSO</w:t>
            </w:r>
            <w:r w:rsidRPr="0061516E">
              <w:rPr>
                <w:rFonts w:asciiTheme="minorHAnsi" w:eastAsia="Times New Roman" w:hAnsiTheme="minorHAnsi"/>
                <w:sz w:val="22"/>
                <w:szCs w:val="22"/>
                <w:vertAlign w:val="subscript"/>
              </w:rPr>
              <w:t>4</w:t>
            </w:r>
            <w:r w:rsidRPr="0061516E">
              <w:rPr>
                <w:rFonts w:asciiTheme="minorHAnsi" w:eastAsia="Times New Roman" w:hAnsiTheme="minorHAnsi"/>
                <w:sz w:val="22"/>
                <w:szCs w:val="22"/>
              </w:rPr>
              <w:t>. The solution was then evaporated to dryness by rotary evaporation and used as is or purified by preparative plate or column chromatography.</w:t>
            </w:r>
          </w:p>
          <w:p w14:paraId="64485AF6" w14:textId="0AB88231" w:rsidR="003F4C6D" w:rsidRPr="0061516E" w:rsidRDefault="003F4C6D" w:rsidP="003F4C6D">
            <w:pPr>
              <w:spacing w:after="120"/>
              <w:rPr>
                <w:rFonts w:asciiTheme="minorHAnsi" w:hAnsiTheme="minorHAnsi" w:cstheme="minorBidi"/>
                <w:noProof/>
                <w:sz w:val="22"/>
                <w:szCs w:val="22"/>
              </w:rPr>
            </w:pPr>
            <w:r w:rsidRPr="0061516E">
              <w:rPr>
                <w:rFonts w:asciiTheme="minorHAnsi" w:eastAsia="Times New Roman" w:hAnsiTheme="minorHAnsi" w:cs="Aparajita"/>
                <w:snapToGrid w:val="0"/>
                <w:sz w:val="22"/>
                <w:szCs w:val="22"/>
              </w:rPr>
              <w:lastRenderedPageBreak/>
              <w:t>A typical use of LAH can be found in</w:t>
            </w:r>
            <w:r w:rsidRPr="0061516E">
              <w:rPr>
                <w:rFonts w:asciiTheme="minorHAnsi" w:hAnsiTheme="minorHAnsi"/>
                <w:noProof/>
                <w:sz w:val="22"/>
                <w:szCs w:val="22"/>
              </w:rPr>
              <w:t xml:space="preserve">: </w:t>
            </w:r>
            <w:r w:rsidRPr="0061516E">
              <w:rPr>
                <w:rFonts w:asciiTheme="minorHAnsi" w:hAnsiTheme="minorHAnsi" w:cstheme="minorBidi"/>
                <w:noProof/>
                <w:sz w:val="22"/>
                <w:szCs w:val="22"/>
              </w:rPr>
              <w:t>Brückner, C.; Xie, L. Y.; Dolphin, D. ‘The Reductive Coupling of 2-Cyanopyrroles: A Study Pertaining to the Mechanism of Formation of Porphocyanines’ </w:t>
            </w:r>
            <w:r w:rsidRPr="0061516E">
              <w:rPr>
                <w:rFonts w:asciiTheme="minorHAnsi" w:hAnsiTheme="minorHAnsi" w:cstheme="minorBidi"/>
                <w:i/>
                <w:iCs/>
                <w:noProof/>
                <w:sz w:val="22"/>
                <w:szCs w:val="22"/>
              </w:rPr>
              <w:t>Tetrahedron</w:t>
            </w:r>
            <w:r w:rsidRPr="0061516E">
              <w:rPr>
                <w:rFonts w:asciiTheme="minorHAnsi" w:hAnsiTheme="minorHAnsi" w:cstheme="minorBidi"/>
                <w:noProof/>
                <w:sz w:val="22"/>
                <w:szCs w:val="22"/>
              </w:rPr>
              <w:t> </w:t>
            </w:r>
            <w:r w:rsidRPr="0061516E">
              <w:rPr>
                <w:rFonts w:asciiTheme="minorHAnsi" w:hAnsiTheme="minorHAnsi" w:cstheme="minorBidi"/>
                <w:b/>
                <w:bCs/>
                <w:noProof/>
                <w:sz w:val="22"/>
                <w:szCs w:val="22"/>
              </w:rPr>
              <w:t>1998</w:t>
            </w:r>
            <w:r w:rsidRPr="0061516E">
              <w:rPr>
                <w:rFonts w:asciiTheme="minorHAnsi" w:hAnsiTheme="minorHAnsi" w:cstheme="minorBidi"/>
                <w:noProof/>
                <w:sz w:val="22"/>
                <w:szCs w:val="22"/>
              </w:rPr>
              <w:t>, </w:t>
            </w:r>
            <w:r w:rsidRPr="0061516E">
              <w:rPr>
                <w:rFonts w:asciiTheme="minorHAnsi" w:hAnsiTheme="minorHAnsi" w:cstheme="minorBidi"/>
                <w:i/>
                <w:iCs/>
                <w:noProof/>
                <w:sz w:val="22"/>
                <w:szCs w:val="22"/>
              </w:rPr>
              <w:t>54</w:t>
            </w:r>
            <w:r w:rsidRPr="0061516E">
              <w:rPr>
                <w:rFonts w:asciiTheme="minorHAnsi" w:hAnsiTheme="minorHAnsi" w:cstheme="minorBidi"/>
                <w:noProof/>
                <w:sz w:val="22"/>
                <w:szCs w:val="22"/>
              </w:rPr>
              <w:t>, 2021–2030.</w:t>
            </w:r>
          </w:p>
          <w:p w14:paraId="46DC4423" w14:textId="51689B80" w:rsidR="003F4C6D" w:rsidRPr="0061516E" w:rsidRDefault="003F4C6D" w:rsidP="003F4C6D">
            <w:pPr>
              <w:spacing w:after="120"/>
              <w:rPr>
                <w:rFonts w:asciiTheme="minorHAnsi" w:eastAsia="Times New Roman" w:hAnsiTheme="minorHAnsi"/>
                <w:b/>
                <w:sz w:val="22"/>
                <w:szCs w:val="22"/>
              </w:rPr>
            </w:pPr>
            <w:r>
              <w:rPr>
                <w:rFonts w:asciiTheme="minorHAnsi" w:eastAsia="Times New Roman" w:hAnsiTheme="minorHAnsi"/>
                <w:b/>
                <w:i/>
                <w:sz w:val="22"/>
                <w:szCs w:val="22"/>
              </w:rPr>
              <w:t>Bis(2-</w:t>
            </w:r>
            <w:proofErr w:type="gramStart"/>
            <w:r>
              <w:rPr>
                <w:rFonts w:asciiTheme="minorHAnsi" w:eastAsia="Times New Roman" w:hAnsiTheme="minorHAnsi"/>
                <w:b/>
                <w:i/>
                <w:sz w:val="22"/>
                <w:szCs w:val="22"/>
              </w:rPr>
              <w:t>pyrrolylmethyl)amine</w:t>
            </w:r>
            <w:proofErr w:type="gramEnd"/>
          </w:p>
          <w:p w14:paraId="4E4512AB" w14:textId="3740F038" w:rsidR="003F4C6D" w:rsidRPr="0061516E" w:rsidRDefault="003F4C6D" w:rsidP="003F4C6D">
            <w:pPr>
              <w:spacing w:after="120"/>
              <w:rPr>
                <w:rFonts w:asciiTheme="minorHAnsi" w:eastAsia="Times New Roman" w:hAnsiTheme="minorHAnsi"/>
                <w:sz w:val="22"/>
                <w:szCs w:val="22"/>
              </w:rPr>
            </w:pPr>
            <w:r w:rsidRPr="0061516E">
              <w:rPr>
                <w:rFonts w:asciiTheme="minorHAnsi" w:eastAsia="Times New Roman" w:hAnsiTheme="minorHAnsi"/>
                <w:sz w:val="22"/>
                <w:szCs w:val="22"/>
              </w:rPr>
              <w:t>(2-</w:t>
            </w:r>
            <w:proofErr w:type="gramStart"/>
            <w:r w:rsidRPr="0061516E">
              <w:rPr>
                <w:rFonts w:asciiTheme="minorHAnsi" w:eastAsia="Times New Roman" w:hAnsiTheme="minorHAnsi"/>
                <w:sz w:val="22"/>
                <w:szCs w:val="22"/>
              </w:rPr>
              <w:t>Pyrrolylmethene)-(</w:t>
            </w:r>
            <w:proofErr w:type="gramEnd"/>
            <w:r w:rsidRPr="0061516E">
              <w:rPr>
                <w:rFonts w:asciiTheme="minorHAnsi" w:eastAsia="Times New Roman" w:hAnsiTheme="minorHAnsi"/>
                <w:sz w:val="22"/>
                <w:szCs w:val="22"/>
              </w:rPr>
              <w:t xml:space="preserve">2-pyrrolylmethyl)imine (0.10 g, 0.58 mmol) dissolved in THF (10 mL) was added under anhydrous conditions and at 0°C to a suspension of LAH (44 mg, 2 equiv.) in dry THF (5 mL).  The reaction mixture was quenched with Glauber’s salt (Na2SO4.10 H2O, ca. 0.2 g) and the resulting slurry filtered through a pad of </w:t>
            </w:r>
            <w:proofErr w:type="spellStart"/>
            <w:r w:rsidRPr="0061516E">
              <w:rPr>
                <w:rFonts w:asciiTheme="minorHAnsi" w:eastAsia="Times New Roman" w:hAnsiTheme="minorHAnsi"/>
                <w:sz w:val="22"/>
                <w:szCs w:val="22"/>
              </w:rPr>
              <w:t>Celite</w:t>
            </w:r>
            <w:proofErr w:type="spellEnd"/>
            <w:r w:rsidRPr="0061516E">
              <w:rPr>
                <w:rFonts w:asciiTheme="minorHAnsi" w:eastAsia="Times New Roman" w:hAnsiTheme="minorHAnsi"/>
                <w:sz w:val="22"/>
                <w:szCs w:val="22"/>
              </w:rPr>
              <w:t>®.  The filtrate was evaporated on a rotary evaporator to give the desired amine as a colorless and odorless oil.</w:t>
            </w:r>
          </w:p>
          <w:p w14:paraId="41FC3A76" w14:textId="39F3F059" w:rsidR="003F4C6D" w:rsidRPr="0061516E" w:rsidRDefault="003F4C6D" w:rsidP="003F4C6D">
            <w:pPr>
              <w:spacing w:after="120"/>
              <w:rPr>
                <w:rFonts w:asciiTheme="minorHAnsi" w:eastAsia="Times New Roman" w:hAnsiTheme="minorHAnsi"/>
                <w:sz w:val="22"/>
                <w:szCs w:val="22"/>
              </w:rPr>
            </w:pPr>
            <w:r w:rsidRPr="0061516E">
              <w:rPr>
                <w:rFonts w:asciiTheme="minorHAnsi" w:eastAsia="Times New Roman" w:hAnsiTheme="minorHAnsi"/>
                <w:sz w:val="22"/>
                <w:szCs w:val="22"/>
              </w:rPr>
              <w:t>A typical use of NaBH</w:t>
            </w:r>
            <w:r w:rsidRPr="0061516E">
              <w:rPr>
                <w:rFonts w:asciiTheme="minorHAnsi" w:eastAsia="Times New Roman" w:hAnsiTheme="minorHAnsi"/>
                <w:sz w:val="22"/>
                <w:szCs w:val="22"/>
                <w:vertAlign w:val="subscript"/>
              </w:rPr>
              <w:t>4</w:t>
            </w:r>
            <w:r w:rsidRPr="0061516E">
              <w:rPr>
                <w:rFonts w:asciiTheme="minorHAnsi" w:eastAsia="Times New Roman" w:hAnsiTheme="minorHAnsi"/>
                <w:sz w:val="22"/>
                <w:szCs w:val="22"/>
              </w:rPr>
              <w:t xml:space="preserve"> can be found in: </w:t>
            </w:r>
            <w:proofErr w:type="spellStart"/>
            <w:r w:rsidRPr="0061516E">
              <w:rPr>
                <w:rFonts w:asciiTheme="minorHAnsi" w:eastAsia="Times New Roman" w:hAnsiTheme="minorHAnsi"/>
                <w:sz w:val="22"/>
                <w:szCs w:val="22"/>
              </w:rPr>
              <w:t>Briñas</w:t>
            </w:r>
            <w:proofErr w:type="spellEnd"/>
            <w:r w:rsidRPr="0061516E">
              <w:rPr>
                <w:rFonts w:asciiTheme="minorHAnsi" w:eastAsia="Times New Roman" w:hAnsiTheme="minorHAnsi"/>
                <w:sz w:val="22"/>
                <w:szCs w:val="22"/>
              </w:rPr>
              <w:t xml:space="preserve"> R. P.; Brückner, C. ‘Synthesis of 5,10-Diphenylporphyrin’ </w:t>
            </w:r>
            <w:r w:rsidRPr="0061516E">
              <w:rPr>
                <w:rFonts w:asciiTheme="minorHAnsi" w:eastAsia="Times New Roman" w:hAnsiTheme="minorHAnsi"/>
                <w:i/>
                <w:iCs/>
                <w:sz w:val="22"/>
                <w:szCs w:val="22"/>
              </w:rPr>
              <w:t>Tetrahedron</w:t>
            </w:r>
            <w:r w:rsidRPr="0061516E">
              <w:rPr>
                <w:rFonts w:asciiTheme="minorHAnsi" w:eastAsia="Times New Roman" w:hAnsiTheme="minorHAnsi"/>
                <w:sz w:val="22"/>
                <w:szCs w:val="22"/>
              </w:rPr>
              <w:t> </w:t>
            </w:r>
            <w:r w:rsidRPr="0061516E">
              <w:rPr>
                <w:rFonts w:asciiTheme="minorHAnsi" w:eastAsia="Times New Roman" w:hAnsiTheme="minorHAnsi"/>
                <w:b/>
                <w:bCs/>
                <w:sz w:val="22"/>
                <w:szCs w:val="22"/>
              </w:rPr>
              <w:t>2002</w:t>
            </w:r>
            <w:r w:rsidRPr="0061516E">
              <w:rPr>
                <w:rFonts w:asciiTheme="minorHAnsi" w:eastAsia="Times New Roman" w:hAnsiTheme="minorHAnsi"/>
                <w:sz w:val="22"/>
                <w:szCs w:val="22"/>
              </w:rPr>
              <w:t xml:space="preserve">, </w:t>
            </w:r>
            <w:r w:rsidRPr="0061516E">
              <w:rPr>
                <w:rFonts w:asciiTheme="minorHAnsi" w:eastAsia="Times New Roman" w:hAnsiTheme="minorHAnsi"/>
                <w:i/>
                <w:iCs/>
                <w:sz w:val="22"/>
                <w:szCs w:val="22"/>
              </w:rPr>
              <w:t>58</w:t>
            </w:r>
            <w:r w:rsidRPr="0061516E">
              <w:rPr>
                <w:rFonts w:asciiTheme="minorHAnsi" w:eastAsia="Times New Roman" w:hAnsiTheme="minorHAnsi"/>
                <w:sz w:val="22"/>
                <w:szCs w:val="22"/>
              </w:rPr>
              <w:t>, 4375–4381.</w:t>
            </w:r>
          </w:p>
          <w:p w14:paraId="07F47A22" w14:textId="7281D7F9" w:rsidR="003F4C6D" w:rsidRPr="000520B6" w:rsidRDefault="003F4C6D" w:rsidP="003F4C6D">
            <w:pPr>
              <w:spacing w:after="120"/>
              <w:rPr>
                <w:rFonts w:asciiTheme="minorHAnsi" w:eastAsia="Times New Roman" w:hAnsiTheme="minorHAnsi"/>
                <w:b/>
                <w:i/>
                <w:sz w:val="22"/>
                <w:szCs w:val="22"/>
              </w:rPr>
            </w:pPr>
            <w:r>
              <w:rPr>
                <w:rFonts w:asciiTheme="minorHAnsi" w:eastAsia="Times New Roman" w:hAnsiTheme="minorHAnsi"/>
                <w:b/>
                <w:i/>
                <w:sz w:val="22"/>
                <w:szCs w:val="22"/>
              </w:rPr>
              <w:t xml:space="preserve">5,10-Diphenylporphyrin </w:t>
            </w:r>
          </w:p>
          <w:p w14:paraId="4AEA193D" w14:textId="539E2F76" w:rsidR="003F4C6D" w:rsidRPr="0061516E" w:rsidRDefault="003F4C6D" w:rsidP="003F4C6D">
            <w:pPr>
              <w:spacing w:after="120"/>
              <w:rPr>
                <w:rFonts w:asciiTheme="minorHAnsi" w:eastAsia="Times New Roman" w:hAnsiTheme="minorHAnsi"/>
                <w:sz w:val="22"/>
                <w:szCs w:val="22"/>
              </w:rPr>
            </w:pPr>
            <w:r w:rsidRPr="0061516E">
              <w:rPr>
                <w:rFonts w:asciiTheme="minorHAnsi" w:eastAsia="Times New Roman" w:hAnsiTheme="minorHAnsi"/>
                <w:sz w:val="22"/>
                <w:szCs w:val="22"/>
                <w:lang w:val="en-GB"/>
              </w:rPr>
              <w:t>To a stirred solution of diacyl</w:t>
            </w:r>
            <w:r>
              <w:rPr>
                <w:rFonts w:asciiTheme="minorHAnsi" w:eastAsia="Times New Roman" w:hAnsiTheme="minorHAnsi"/>
                <w:sz w:val="22"/>
                <w:szCs w:val="22"/>
                <w:lang w:val="en-GB"/>
              </w:rPr>
              <w:t xml:space="preserve"> </w:t>
            </w:r>
            <w:r w:rsidRPr="0061516E">
              <w:rPr>
                <w:rFonts w:asciiTheme="minorHAnsi" w:eastAsia="Times New Roman" w:hAnsiTheme="minorHAnsi"/>
                <w:sz w:val="22"/>
                <w:szCs w:val="22"/>
                <w:lang w:val="en-GB"/>
              </w:rPr>
              <w:t>dipyrromethane (50 mg, 0.14 mmol) in THF/methanol (10:1, 6 mL) was added, under N</w:t>
            </w:r>
            <w:r w:rsidRPr="0061516E">
              <w:rPr>
                <w:rFonts w:asciiTheme="minorHAnsi" w:eastAsia="Times New Roman" w:hAnsiTheme="minorHAnsi"/>
                <w:sz w:val="22"/>
                <w:szCs w:val="22"/>
                <w:vertAlign w:val="subscript"/>
                <w:lang w:val="en-GB"/>
              </w:rPr>
              <w:t>2</w:t>
            </w:r>
            <w:r w:rsidRPr="0061516E">
              <w:rPr>
                <w:rFonts w:asciiTheme="minorHAnsi" w:eastAsia="Times New Roman" w:hAnsiTheme="minorHAnsi"/>
                <w:sz w:val="22"/>
                <w:szCs w:val="22"/>
                <w:lang w:val="en-GB"/>
              </w:rPr>
              <w:t>, NaBH</w:t>
            </w:r>
            <w:r w:rsidRPr="0061516E">
              <w:rPr>
                <w:rFonts w:asciiTheme="minorHAnsi" w:eastAsia="Times New Roman" w:hAnsiTheme="minorHAnsi"/>
                <w:sz w:val="22"/>
                <w:szCs w:val="22"/>
                <w:vertAlign w:val="subscript"/>
                <w:lang w:val="en-GB"/>
              </w:rPr>
              <w:t>4</w:t>
            </w:r>
            <w:r w:rsidRPr="0061516E">
              <w:rPr>
                <w:rFonts w:asciiTheme="minorHAnsi" w:eastAsia="Times New Roman" w:hAnsiTheme="minorHAnsi"/>
                <w:sz w:val="22"/>
                <w:szCs w:val="22"/>
                <w:lang w:val="en-GB"/>
              </w:rPr>
              <w:t xml:space="preserve"> (0.11 g, 2.8 mmol) in small portions (~every 2 mins).  After 40 mins at r.t, the reaction mixture was poured into a mixture of saturated </w:t>
            </w:r>
            <w:proofErr w:type="spellStart"/>
            <w:r w:rsidRPr="0061516E">
              <w:rPr>
                <w:rFonts w:asciiTheme="minorHAnsi" w:eastAsia="Times New Roman" w:hAnsiTheme="minorHAnsi"/>
                <w:sz w:val="22"/>
                <w:szCs w:val="22"/>
                <w:lang w:val="en-GB"/>
              </w:rPr>
              <w:t>aq</w:t>
            </w:r>
            <w:proofErr w:type="spellEnd"/>
            <w:r w:rsidRPr="0061516E">
              <w:rPr>
                <w:rFonts w:asciiTheme="minorHAnsi" w:eastAsia="Times New Roman" w:hAnsiTheme="minorHAnsi"/>
                <w:sz w:val="22"/>
                <w:szCs w:val="22"/>
                <w:lang w:val="en-GB"/>
              </w:rPr>
              <w:t xml:space="preserve"> NH</w:t>
            </w:r>
            <w:r w:rsidRPr="0061516E">
              <w:rPr>
                <w:rFonts w:asciiTheme="minorHAnsi" w:eastAsia="Times New Roman" w:hAnsiTheme="minorHAnsi"/>
                <w:sz w:val="22"/>
                <w:szCs w:val="22"/>
                <w:vertAlign w:val="subscript"/>
                <w:lang w:val="en-GB"/>
              </w:rPr>
              <w:t>4</w:t>
            </w:r>
            <w:r w:rsidRPr="0061516E">
              <w:rPr>
                <w:rFonts w:asciiTheme="minorHAnsi" w:eastAsia="Times New Roman" w:hAnsiTheme="minorHAnsi"/>
                <w:sz w:val="22"/>
                <w:szCs w:val="22"/>
                <w:lang w:val="en-GB"/>
              </w:rPr>
              <w:t>Cl and CHCl</w:t>
            </w:r>
            <w:r w:rsidRPr="0061516E">
              <w:rPr>
                <w:rFonts w:asciiTheme="minorHAnsi" w:eastAsia="Times New Roman" w:hAnsiTheme="minorHAnsi"/>
                <w:sz w:val="22"/>
                <w:szCs w:val="22"/>
                <w:vertAlign w:val="subscript"/>
                <w:lang w:val="en-GB"/>
              </w:rPr>
              <w:t>3</w:t>
            </w:r>
            <w:r w:rsidRPr="0061516E">
              <w:rPr>
                <w:rFonts w:asciiTheme="minorHAnsi" w:eastAsia="Times New Roman" w:hAnsiTheme="minorHAnsi"/>
                <w:sz w:val="22"/>
                <w:szCs w:val="22"/>
                <w:lang w:val="en-GB"/>
              </w:rPr>
              <w:t xml:space="preserve"> (1:1, 20 mL).  The organic phase was isolated, washed with water (2x) and dried (Na</w:t>
            </w:r>
            <w:r w:rsidRPr="0061516E">
              <w:rPr>
                <w:rFonts w:asciiTheme="minorHAnsi" w:eastAsia="Times New Roman" w:hAnsiTheme="minorHAnsi"/>
                <w:sz w:val="22"/>
                <w:szCs w:val="22"/>
                <w:vertAlign w:val="subscript"/>
                <w:lang w:val="en-GB"/>
              </w:rPr>
              <w:t>2</w:t>
            </w:r>
            <w:r w:rsidRPr="0061516E">
              <w:rPr>
                <w:rFonts w:asciiTheme="minorHAnsi" w:eastAsia="Times New Roman" w:hAnsiTheme="minorHAnsi"/>
                <w:sz w:val="22"/>
                <w:szCs w:val="22"/>
                <w:lang w:val="en-GB"/>
              </w:rPr>
              <w:t>CO</w:t>
            </w:r>
            <w:r w:rsidRPr="0061516E">
              <w:rPr>
                <w:rFonts w:asciiTheme="minorHAnsi" w:eastAsia="Times New Roman" w:hAnsiTheme="minorHAnsi"/>
                <w:sz w:val="22"/>
                <w:szCs w:val="22"/>
                <w:vertAlign w:val="subscript"/>
                <w:lang w:val="en-GB"/>
              </w:rPr>
              <w:t>3</w:t>
            </w:r>
            <w:r w:rsidRPr="0061516E">
              <w:rPr>
                <w:rFonts w:asciiTheme="minorHAnsi" w:eastAsia="Times New Roman" w:hAnsiTheme="minorHAnsi"/>
                <w:sz w:val="22"/>
                <w:szCs w:val="22"/>
                <w:lang w:val="en-GB"/>
              </w:rPr>
              <w:t>).  The solven</w:t>
            </w:r>
            <w:r>
              <w:rPr>
                <w:rFonts w:asciiTheme="minorHAnsi" w:eastAsia="Times New Roman" w:hAnsiTheme="minorHAnsi"/>
                <w:sz w:val="22"/>
                <w:szCs w:val="22"/>
                <w:lang w:val="en-GB"/>
              </w:rPr>
              <w:t xml:space="preserve">t was evaporated under vacuum. </w:t>
            </w:r>
          </w:p>
          <w:p w14:paraId="12D6BA70" w14:textId="78EFB4AD" w:rsidR="003F4C6D" w:rsidRPr="0061516E" w:rsidRDefault="003F4C6D" w:rsidP="003F4C6D">
            <w:pPr>
              <w:rPr>
                <w:rFonts w:asciiTheme="minorHAnsi" w:eastAsia="Times New Roman" w:hAnsiTheme="minorHAnsi"/>
              </w:rPr>
            </w:pPr>
          </w:p>
        </w:tc>
      </w:tr>
    </w:tbl>
    <w:p w14:paraId="6BB10339" w14:textId="77777777" w:rsidR="00AC441D" w:rsidRPr="0061516E" w:rsidRDefault="00AC441D" w:rsidP="00F30BE3">
      <w:pPr>
        <w:rPr>
          <w:rFonts w:asciiTheme="minorHAnsi" w:hAnsiTheme="minorHAnsi"/>
        </w:rPr>
      </w:pPr>
      <w:r w:rsidRPr="0061516E">
        <w:rPr>
          <w:rFonts w:asciiTheme="minorHAnsi" w:hAnsiTheme="minorHAnsi"/>
        </w:rPr>
        <w:lastRenderedPageBreak/>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
        <w:gridCol w:w="6190"/>
        <w:gridCol w:w="2788"/>
        <w:gridCol w:w="1432"/>
        <w:gridCol w:w="15"/>
      </w:tblGrid>
      <w:tr w:rsidR="00C76674" w:rsidRPr="0061516E" w14:paraId="1BF3D8F3" w14:textId="77777777" w:rsidTr="002B1DB7">
        <w:trPr>
          <w:gridBefore w:val="1"/>
          <w:wBefore w:w="15" w:type="dxa"/>
          <w:trHeight w:val="432"/>
        </w:trPr>
        <w:tc>
          <w:tcPr>
            <w:tcW w:w="10425" w:type="dxa"/>
            <w:gridSpan w:val="4"/>
            <w:shd w:val="clear" w:color="auto" w:fill="000E2F"/>
            <w:vAlign w:val="center"/>
          </w:tcPr>
          <w:p w14:paraId="00D58FA2" w14:textId="77777777" w:rsidR="00C76674" w:rsidRPr="008138B5" w:rsidRDefault="00174A02" w:rsidP="00C85102">
            <w:pPr>
              <w:widowControl w:val="0"/>
              <w:rPr>
                <w:rFonts w:asciiTheme="minorHAnsi" w:eastAsia="Times New Roman" w:hAnsiTheme="minorHAnsi" w:cs="Aparajita"/>
                <w:snapToGrid w:val="0"/>
                <w:sz w:val="22"/>
                <w:szCs w:val="22"/>
              </w:rPr>
            </w:pPr>
            <w:r w:rsidRPr="008138B5">
              <w:rPr>
                <w:rFonts w:asciiTheme="minorHAnsi" w:eastAsia="Times New Roman" w:hAnsiTheme="minorHAnsi" w:cs="Aparajita"/>
                <w:b/>
                <w:snapToGrid w:val="0"/>
                <w:color w:val="FFFFFF" w:themeColor="background1"/>
                <w:sz w:val="22"/>
                <w:szCs w:val="22"/>
              </w:rPr>
              <w:lastRenderedPageBreak/>
              <w:t>SECTION 12A.     APPROVAL</w:t>
            </w:r>
          </w:p>
        </w:tc>
      </w:tr>
      <w:tr w:rsidR="00C76674" w:rsidRPr="0061516E" w14:paraId="0C918410" w14:textId="77777777" w:rsidTr="002B1DB7">
        <w:trPr>
          <w:gridBefore w:val="1"/>
          <w:wBefore w:w="15" w:type="dxa"/>
          <w:trHeight w:val="432"/>
        </w:trPr>
        <w:tc>
          <w:tcPr>
            <w:tcW w:w="10425" w:type="dxa"/>
            <w:gridSpan w:val="4"/>
            <w:shd w:val="clear" w:color="auto" w:fill="FFFFFF" w:themeFill="background1"/>
            <w:vAlign w:val="center"/>
          </w:tcPr>
          <w:p w14:paraId="74D6A45D" w14:textId="77777777" w:rsidR="002B1DB7" w:rsidRPr="008138B5" w:rsidRDefault="0060252D" w:rsidP="000570F1">
            <w:pPr>
              <w:widowControl w:val="0"/>
              <w:spacing w:before="80" w:after="80"/>
              <w:rPr>
                <w:rFonts w:asciiTheme="minorHAnsi" w:eastAsia="Times New Roman" w:hAnsiTheme="minorHAnsi" w:cs="Aparajita"/>
                <w:snapToGrid w:val="0"/>
                <w:sz w:val="22"/>
                <w:szCs w:val="22"/>
              </w:rPr>
            </w:pPr>
            <w:r w:rsidRPr="008138B5">
              <w:rPr>
                <w:rFonts w:asciiTheme="minorHAnsi" w:eastAsia="Times New Roman" w:hAnsiTheme="minorHAnsi" w:cs="Aparajita"/>
                <w:snapToGrid w:val="0"/>
                <w:sz w:val="22"/>
                <w:szCs w:val="22"/>
              </w:rPr>
              <w:t xml:space="preserve">I have reviewed, understand and agree to follow this </w:t>
            </w:r>
            <w:r w:rsidR="00DF0237" w:rsidRPr="008138B5">
              <w:rPr>
                <w:rFonts w:asciiTheme="minorHAnsi" w:eastAsia="Times New Roman" w:hAnsiTheme="minorHAnsi" w:cs="Aparajita"/>
                <w:snapToGrid w:val="0"/>
                <w:sz w:val="22"/>
                <w:szCs w:val="22"/>
              </w:rPr>
              <w:t xml:space="preserve">lab-specific </w:t>
            </w:r>
            <w:r w:rsidRPr="008138B5">
              <w:rPr>
                <w:rFonts w:asciiTheme="minorHAnsi" w:eastAsia="Times New Roman" w:hAnsiTheme="minorHAnsi" w:cs="Aparajita"/>
                <w:snapToGrid w:val="0"/>
                <w:sz w:val="22"/>
                <w:szCs w:val="22"/>
              </w:rPr>
              <w:t>standard operating procedure (</w:t>
            </w:r>
            <w:r w:rsidR="00241FD1" w:rsidRPr="008138B5">
              <w:rPr>
                <w:rFonts w:asciiTheme="minorHAnsi" w:eastAsia="Times New Roman" w:hAnsiTheme="minorHAnsi" w:cs="Aparajita"/>
                <w:snapToGrid w:val="0"/>
                <w:sz w:val="22"/>
                <w:szCs w:val="22"/>
              </w:rPr>
              <w:t>L</w:t>
            </w:r>
            <w:r w:rsidRPr="008138B5">
              <w:rPr>
                <w:rFonts w:asciiTheme="minorHAnsi" w:eastAsia="Times New Roman" w:hAnsiTheme="minorHAnsi" w:cs="Aparajita"/>
                <w:snapToGrid w:val="0"/>
                <w:sz w:val="22"/>
                <w:szCs w:val="22"/>
              </w:rPr>
              <w:t>SOP)</w:t>
            </w:r>
            <w:r w:rsidRPr="008138B5">
              <w:rPr>
                <w:rFonts w:asciiTheme="minorHAnsi" w:eastAsia="Times New Roman" w:hAnsiTheme="minorHAnsi" w:cs="Aparajita"/>
                <w:i/>
                <w:snapToGrid w:val="0"/>
                <w:sz w:val="22"/>
                <w:szCs w:val="22"/>
              </w:rPr>
              <w:t xml:space="preserve">. </w:t>
            </w:r>
            <w:r w:rsidRPr="008138B5">
              <w:rPr>
                <w:rFonts w:asciiTheme="minorHAnsi" w:eastAsia="Times New Roman" w:hAnsiTheme="minorHAnsi" w:cs="Aparajita"/>
                <w:snapToGrid w:val="0"/>
                <w:sz w:val="22"/>
                <w:szCs w:val="22"/>
              </w:rPr>
              <w:t>Failure to follow th</w:t>
            </w:r>
            <w:r w:rsidR="004A0961" w:rsidRPr="008138B5">
              <w:rPr>
                <w:rFonts w:asciiTheme="minorHAnsi" w:eastAsia="Times New Roman" w:hAnsiTheme="minorHAnsi" w:cs="Aparajita"/>
                <w:snapToGrid w:val="0"/>
                <w:sz w:val="22"/>
                <w:szCs w:val="22"/>
              </w:rPr>
              <w:t>is</w:t>
            </w:r>
            <w:r w:rsidRPr="008138B5">
              <w:rPr>
                <w:rFonts w:asciiTheme="minorHAnsi" w:eastAsia="Times New Roman" w:hAnsiTheme="minorHAnsi" w:cs="Aparajita"/>
                <w:snapToGrid w:val="0"/>
                <w:sz w:val="22"/>
                <w:szCs w:val="22"/>
              </w:rPr>
              <w:t xml:space="preserve"> </w:t>
            </w:r>
            <w:r w:rsidR="00241FD1" w:rsidRPr="008138B5">
              <w:rPr>
                <w:rFonts w:asciiTheme="minorHAnsi" w:eastAsia="Times New Roman" w:hAnsiTheme="minorHAnsi" w:cs="Aparajita"/>
                <w:snapToGrid w:val="0"/>
                <w:sz w:val="22"/>
                <w:szCs w:val="22"/>
              </w:rPr>
              <w:t>L</w:t>
            </w:r>
            <w:r w:rsidRPr="008138B5">
              <w:rPr>
                <w:rFonts w:asciiTheme="minorHAnsi" w:eastAsia="Times New Roman" w:hAnsiTheme="minorHAnsi" w:cs="Aparajita"/>
                <w:snapToGrid w:val="0"/>
                <w:sz w:val="22"/>
                <w:szCs w:val="22"/>
              </w:rPr>
              <w:t xml:space="preserve">SOP </w:t>
            </w:r>
            <w:r w:rsidR="004A0961" w:rsidRPr="008138B5">
              <w:rPr>
                <w:rFonts w:asciiTheme="minorHAnsi" w:eastAsia="Times New Roman" w:hAnsiTheme="minorHAnsi" w:cs="Aparajita"/>
                <w:snapToGrid w:val="0"/>
                <w:sz w:val="22"/>
                <w:szCs w:val="22"/>
              </w:rPr>
              <w:t>or</w:t>
            </w:r>
            <w:r w:rsidRPr="008138B5">
              <w:rPr>
                <w:rFonts w:asciiTheme="minorHAnsi" w:eastAsia="Times New Roman" w:hAnsiTheme="minorHAnsi" w:cs="Aparajita"/>
                <w:snapToGrid w:val="0"/>
                <w:sz w:val="22"/>
                <w:szCs w:val="22"/>
              </w:rPr>
              <w:t xml:space="preserve"> lab-specific training guidelines is a violation of the </w:t>
            </w:r>
            <w:hyperlink r:id="rId11" w:history="1">
              <w:r w:rsidRPr="008138B5">
                <w:rPr>
                  <w:rFonts w:asciiTheme="minorHAnsi" w:eastAsia="Times New Roman" w:hAnsiTheme="minorHAnsi" w:cs="Aparajita"/>
                  <w:i/>
                  <w:snapToGrid w:val="0"/>
                  <w:color w:val="0563C1" w:themeColor="hyperlink"/>
                  <w:sz w:val="22"/>
                  <w:szCs w:val="22"/>
                  <w:u w:val="single"/>
                </w:rPr>
                <w:t>University Health &amp; Safety Policy</w:t>
              </w:r>
            </w:hyperlink>
            <w:r w:rsidRPr="008138B5">
              <w:rPr>
                <w:rFonts w:asciiTheme="minorHAnsi" w:eastAsia="Times New Roman" w:hAnsiTheme="minorHAnsi" w:cs="Aparajita"/>
                <w:snapToGrid w:val="0"/>
                <w:sz w:val="22"/>
                <w:szCs w:val="22"/>
              </w:rPr>
              <w:t xml:space="preserve"> and </w:t>
            </w:r>
            <w:hyperlink r:id="rId12" w:history="1">
              <w:r w:rsidRPr="008138B5">
                <w:rPr>
                  <w:rFonts w:asciiTheme="minorHAnsi" w:eastAsia="Times New Roman" w:hAnsiTheme="minorHAnsi" w:cs="Aparajita"/>
                  <w:i/>
                  <w:snapToGrid w:val="0"/>
                  <w:color w:val="0563C1" w:themeColor="hyperlink"/>
                  <w:sz w:val="22"/>
                  <w:szCs w:val="22"/>
                  <w:u w:val="single"/>
                </w:rPr>
                <w:t>University Code of Conduct</w:t>
              </w:r>
            </w:hyperlink>
            <w:r w:rsidR="002B1DB7" w:rsidRPr="008138B5">
              <w:rPr>
                <w:rFonts w:asciiTheme="minorHAnsi" w:eastAsia="Times New Roman" w:hAnsiTheme="minorHAnsi" w:cs="Aparajita"/>
                <w:snapToGrid w:val="0"/>
                <w:sz w:val="22"/>
                <w:szCs w:val="22"/>
              </w:rPr>
              <w:t>.</w:t>
            </w:r>
          </w:p>
          <w:p w14:paraId="696C7111" w14:textId="1EE3BB85" w:rsidR="0060252D" w:rsidRPr="008138B5" w:rsidRDefault="0060252D" w:rsidP="000570F1">
            <w:pPr>
              <w:widowControl w:val="0"/>
              <w:spacing w:before="80" w:after="80"/>
              <w:rPr>
                <w:rFonts w:asciiTheme="minorHAnsi" w:eastAsia="Times New Roman" w:hAnsiTheme="minorHAnsi" w:cs="Aparajita"/>
                <w:snapToGrid w:val="0"/>
                <w:sz w:val="22"/>
                <w:szCs w:val="22"/>
              </w:rPr>
            </w:pPr>
            <w:r w:rsidRPr="008138B5">
              <w:rPr>
                <w:rFonts w:asciiTheme="minorHAnsi" w:eastAsia="Times New Roman" w:hAnsiTheme="minorHAnsi" w:cs="Aparajita"/>
                <w:snapToGrid w:val="0"/>
                <w:sz w:val="22"/>
                <w:szCs w:val="22"/>
              </w:rPr>
              <w:t xml:space="preserve">Further approval </w:t>
            </w:r>
            <w:r w:rsidR="002B1DB7" w:rsidRPr="008138B5">
              <w:rPr>
                <w:rFonts w:asciiTheme="minorHAnsi" w:eastAsia="Times New Roman" w:hAnsiTheme="minorHAnsi" w:cs="Aparajita"/>
                <w:snapToGrid w:val="0"/>
                <w:sz w:val="22"/>
                <w:szCs w:val="22"/>
              </w:rPr>
              <w:t>and/or review of this LSOP by</w:t>
            </w:r>
            <w:r w:rsidR="004858EC" w:rsidRPr="008138B5">
              <w:rPr>
                <w:rFonts w:asciiTheme="minorHAnsi" w:eastAsia="Times New Roman" w:hAnsiTheme="minorHAnsi" w:cs="Aparajita"/>
                <w:snapToGrid w:val="0"/>
                <w:sz w:val="22"/>
                <w:szCs w:val="22"/>
              </w:rPr>
              <w:t xml:space="preserve"> </w:t>
            </w:r>
            <w:r w:rsidR="00664496" w:rsidRPr="008138B5">
              <w:rPr>
                <w:rFonts w:asciiTheme="minorHAnsi" w:eastAsia="Times New Roman" w:hAnsiTheme="minorHAnsi" w:cs="Aparajita"/>
                <w:snapToGrid w:val="0"/>
                <w:sz w:val="22"/>
                <w:szCs w:val="22"/>
              </w:rPr>
              <w:t>Dr. Brückner</w:t>
            </w:r>
            <w:r w:rsidRPr="008138B5">
              <w:rPr>
                <w:rFonts w:asciiTheme="minorHAnsi" w:eastAsia="Times New Roman" w:hAnsiTheme="minorHAnsi" w:cs="Aparajita"/>
                <w:snapToGrid w:val="0"/>
                <w:sz w:val="22"/>
                <w:szCs w:val="22"/>
              </w:rPr>
              <w:t xml:space="preserve"> is required if any of the following events occur:</w:t>
            </w:r>
          </w:p>
          <w:p w14:paraId="003A835A" w14:textId="77777777" w:rsidR="0060252D" w:rsidRPr="008138B5" w:rsidRDefault="0060252D" w:rsidP="0060252D">
            <w:pPr>
              <w:widowControl w:val="0"/>
              <w:numPr>
                <w:ilvl w:val="0"/>
                <w:numId w:val="5"/>
              </w:numPr>
              <w:shd w:val="clear" w:color="auto" w:fill="FFFFFF"/>
              <w:contextualSpacing/>
              <w:rPr>
                <w:rFonts w:asciiTheme="minorHAnsi" w:eastAsia="Times New Roman" w:hAnsiTheme="minorHAnsi" w:cs="Aparajita"/>
                <w:sz w:val="22"/>
                <w:szCs w:val="22"/>
              </w:rPr>
            </w:pPr>
            <w:r w:rsidRPr="008138B5">
              <w:rPr>
                <w:rFonts w:asciiTheme="minorHAnsi" w:eastAsia="Times New Roman" w:hAnsiTheme="minorHAnsi" w:cs="Aparajita"/>
                <w:sz w:val="22"/>
                <w:szCs w:val="22"/>
              </w:rPr>
              <w:t xml:space="preserve">A </w:t>
            </w:r>
            <w:r w:rsidR="00E51A8A" w:rsidRPr="008138B5">
              <w:rPr>
                <w:rFonts w:asciiTheme="minorHAnsi" w:eastAsia="Times New Roman" w:hAnsiTheme="minorHAnsi" w:cs="Aparajita"/>
                <w:sz w:val="22"/>
                <w:szCs w:val="22"/>
              </w:rPr>
              <w:t xml:space="preserve">significant </w:t>
            </w:r>
            <w:r w:rsidRPr="008138B5">
              <w:rPr>
                <w:rFonts w:asciiTheme="minorHAnsi" w:eastAsia="Times New Roman" w:hAnsiTheme="minorHAnsi" w:cs="Aparajita"/>
                <w:sz w:val="22"/>
                <w:szCs w:val="22"/>
              </w:rPr>
              <w:t>change in amount (</w:t>
            </w:r>
            <w:r w:rsidR="00E51A8A" w:rsidRPr="008138B5">
              <w:rPr>
                <w:rFonts w:asciiTheme="minorHAnsi" w:eastAsia="Times New Roman" w:hAnsiTheme="minorHAnsi" w:cs="Aparajita"/>
                <w:sz w:val="22"/>
                <w:szCs w:val="22"/>
              </w:rPr>
              <w:t>i.e., doubling of the scale of reaction</w:t>
            </w:r>
            <w:r w:rsidRPr="008138B5">
              <w:rPr>
                <w:rFonts w:asciiTheme="minorHAnsi" w:eastAsia="Times New Roman" w:hAnsiTheme="minorHAnsi" w:cs="Aparajita"/>
                <w:sz w:val="22"/>
                <w:szCs w:val="22"/>
              </w:rPr>
              <w:t>) or substitution of the chemicals in the procedure is planned</w:t>
            </w:r>
          </w:p>
          <w:p w14:paraId="5FCDD5EE" w14:textId="77777777" w:rsidR="0060252D" w:rsidRPr="008138B5" w:rsidRDefault="0060252D" w:rsidP="0060252D">
            <w:pPr>
              <w:widowControl w:val="0"/>
              <w:numPr>
                <w:ilvl w:val="0"/>
                <w:numId w:val="5"/>
              </w:numPr>
              <w:shd w:val="clear" w:color="auto" w:fill="FFFFFF"/>
              <w:rPr>
                <w:rFonts w:asciiTheme="minorHAnsi" w:eastAsia="Times New Roman" w:hAnsiTheme="minorHAnsi" w:cs="Aparajita"/>
                <w:sz w:val="22"/>
                <w:szCs w:val="22"/>
              </w:rPr>
            </w:pPr>
            <w:r w:rsidRPr="008138B5">
              <w:rPr>
                <w:rFonts w:asciiTheme="minorHAnsi" w:eastAsia="Times New Roman" w:hAnsiTheme="minorHAnsi" w:cs="Aparajita"/>
                <w:sz w:val="22"/>
                <w:szCs w:val="22"/>
              </w:rPr>
              <w:t xml:space="preserve">A </w:t>
            </w:r>
            <w:r w:rsidR="00A17111" w:rsidRPr="008138B5">
              <w:rPr>
                <w:rFonts w:asciiTheme="minorHAnsi" w:eastAsia="Times New Roman" w:hAnsiTheme="minorHAnsi" w:cs="Aparajita"/>
                <w:sz w:val="22"/>
                <w:szCs w:val="22"/>
              </w:rPr>
              <w:t xml:space="preserve">major </w:t>
            </w:r>
            <w:r w:rsidRPr="008138B5">
              <w:rPr>
                <w:rFonts w:asciiTheme="minorHAnsi" w:eastAsia="Times New Roman" w:hAnsiTheme="minorHAnsi" w:cs="Aparajita"/>
                <w:sz w:val="22"/>
                <w:szCs w:val="22"/>
              </w:rPr>
              <w:t>change in the agreed-upon experimental set-up is planned</w:t>
            </w:r>
            <w:r w:rsidR="00A17111" w:rsidRPr="008138B5">
              <w:rPr>
                <w:rFonts w:asciiTheme="minorHAnsi" w:eastAsia="Times New Roman" w:hAnsiTheme="minorHAnsi" w:cs="Aparajita"/>
                <w:sz w:val="22"/>
                <w:szCs w:val="22"/>
              </w:rPr>
              <w:t xml:space="preserve"> (heating instead of room temp, etc.)</w:t>
            </w:r>
          </w:p>
          <w:p w14:paraId="7694FB2D" w14:textId="77777777" w:rsidR="0060252D" w:rsidRPr="008138B5" w:rsidRDefault="00A17111" w:rsidP="0060252D">
            <w:pPr>
              <w:widowControl w:val="0"/>
              <w:numPr>
                <w:ilvl w:val="0"/>
                <w:numId w:val="5"/>
              </w:numPr>
              <w:shd w:val="clear" w:color="auto" w:fill="FFFFFF"/>
              <w:rPr>
                <w:rFonts w:asciiTheme="minorHAnsi" w:eastAsia="Times New Roman" w:hAnsiTheme="minorHAnsi" w:cs="Aparajita"/>
                <w:sz w:val="22"/>
                <w:szCs w:val="22"/>
              </w:rPr>
            </w:pPr>
            <w:r w:rsidRPr="008138B5">
              <w:rPr>
                <w:rFonts w:asciiTheme="minorHAnsi" w:eastAsia="Times New Roman" w:hAnsiTheme="minorHAnsi" w:cs="Aparajita"/>
                <w:sz w:val="22"/>
                <w:szCs w:val="22"/>
              </w:rPr>
              <w:t>Any s</w:t>
            </w:r>
            <w:r w:rsidR="0060252D" w:rsidRPr="008138B5">
              <w:rPr>
                <w:rFonts w:asciiTheme="minorHAnsi" w:eastAsia="Times New Roman" w:hAnsiTheme="minorHAnsi" w:cs="Aparajita"/>
                <w:sz w:val="22"/>
                <w:szCs w:val="22"/>
              </w:rPr>
              <w:t>igns of a failure in safety design or equipment are observed</w:t>
            </w:r>
          </w:p>
          <w:p w14:paraId="4C74F544" w14:textId="77777777" w:rsidR="0060252D" w:rsidRPr="008138B5" w:rsidRDefault="00A17111" w:rsidP="0060252D">
            <w:pPr>
              <w:widowControl w:val="0"/>
              <w:numPr>
                <w:ilvl w:val="0"/>
                <w:numId w:val="5"/>
              </w:numPr>
              <w:shd w:val="clear" w:color="auto" w:fill="FFFFFF"/>
              <w:contextualSpacing/>
              <w:rPr>
                <w:rFonts w:asciiTheme="minorHAnsi" w:eastAsia="Times New Roman" w:hAnsiTheme="minorHAnsi" w:cs="Aparajita"/>
                <w:sz w:val="22"/>
                <w:szCs w:val="22"/>
              </w:rPr>
            </w:pPr>
            <w:r w:rsidRPr="008138B5">
              <w:rPr>
                <w:rFonts w:asciiTheme="minorHAnsi" w:eastAsia="Times New Roman" w:hAnsiTheme="minorHAnsi" w:cs="Aparajita"/>
                <w:sz w:val="22"/>
                <w:szCs w:val="22"/>
              </w:rPr>
              <w:t>Any s</w:t>
            </w:r>
            <w:r w:rsidR="0060252D" w:rsidRPr="008138B5">
              <w:rPr>
                <w:rFonts w:asciiTheme="minorHAnsi" w:eastAsia="Times New Roman" w:hAnsiTheme="minorHAnsi" w:cs="Aparajita"/>
                <w:sz w:val="22"/>
                <w:szCs w:val="22"/>
              </w:rPr>
              <w:t>igns or symptoms of a chemical exposure to any personnel are observed</w:t>
            </w:r>
          </w:p>
          <w:p w14:paraId="3DF21EB9" w14:textId="77777777" w:rsidR="00C76674" w:rsidRPr="008138B5" w:rsidRDefault="0060252D" w:rsidP="00C85102">
            <w:pPr>
              <w:widowControl w:val="0"/>
              <w:numPr>
                <w:ilvl w:val="0"/>
                <w:numId w:val="5"/>
              </w:numPr>
              <w:shd w:val="clear" w:color="auto" w:fill="FFFFFF"/>
              <w:contextualSpacing/>
              <w:rPr>
                <w:rFonts w:asciiTheme="minorHAnsi" w:eastAsia="Times New Roman" w:hAnsiTheme="minorHAnsi" w:cs="Aparajita"/>
                <w:sz w:val="22"/>
                <w:szCs w:val="22"/>
              </w:rPr>
            </w:pPr>
            <w:r w:rsidRPr="008138B5">
              <w:rPr>
                <w:rFonts w:asciiTheme="minorHAnsi" w:eastAsia="Times New Roman" w:hAnsiTheme="minorHAnsi" w:cs="Aparajita"/>
                <w:sz w:val="22"/>
                <w:szCs w:val="22"/>
              </w:rPr>
              <w:t xml:space="preserve">Unexpected and/or potentially dangerous experimental results occur (e.g., fire, </w:t>
            </w:r>
            <w:r w:rsidRPr="008138B5">
              <w:rPr>
                <w:rFonts w:asciiTheme="minorHAnsi" w:eastAsia="Times New Roman" w:hAnsiTheme="minorHAnsi" w:cs="Helvetica"/>
                <w:snapToGrid w:val="0"/>
                <w:sz w:val="22"/>
                <w:szCs w:val="22"/>
                <w:shd w:val="clear" w:color="auto" w:fill="FFFFFF"/>
              </w:rPr>
              <w:t>uncontrolled buildup of heat and/or pressure,</w:t>
            </w:r>
            <w:r w:rsidRPr="008138B5">
              <w:rPr>
                <w:rFonts w:asciiTheme="minorHAnsi" w:eastAsia="Times New Roman" w:hAnsiTheme="minorHAnsi" w:cs="Aparajita"/>
                <w:sz w:val="22"/>
                <w:szCs w:val="22"/>
              </w:rPr>
              <w:t xml:space="preserve"> etc.)</w:t>
            </w:r>
            <w:r w:rsidR="00E51A8A" w:rsidRPr="008138B5">
              <w:rPr>
                <w:rFonts w:asciiTheme="minorHAnsi" w:eastAsia="Times New Roman" w:hAnsiTheme="minorHAnsi" w:cs="Aparajita"/>
                <w:sz w:val="22"/>
                <w:szCs w:val="22"/>
              </w:rPr>
              <w:br/>
            </w:r>
          </w:p>
        </w:tc>
      </w:tr>
      <w:tr w:rsidR="002B1DB7" w:rsidRPr="0061516E" w14:paraId="00A7A0D1" w14:textId="77777777" w:rsidTr="002B1DB7">
        <w:trPr>
          <w:gridBefore w:val="1"/>
          <w:wBefore w:w="15" w:type="dxa"/>
          <w:trHeight w:val="638"/>
        </w:trPr>
        <w:tc>
          <w:tcPr>
            <w:tcW w:w="6190" w:type="dxa"/>
            <w:shd w:val="clear" w:color="auto" w:fill="D9D9D9" w:themeFill="background1" w:themeFillShade="D9"/>
            <w:vAlign w:val="center"/>
          </w:tcPr>
          <w:p w14:paraId="45842005" w14:textId="77777777" w:rsidR="002B1DB7" w:rsidRPr="008138B5" w:rsidRDefault="002B1DB7" w:rsidP="0060252D">
            <w:pPr>
              <w:widowControl w:val="0"/>
              <w:jc w:val="center"/>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Researcher Name/Signature</w:t>
            </w:r>
          </w:p>
        </w:tc>
        <w:tc>
          <w:tcPr>
            <w:tcW w:w="2788" w:type="dxa"/>
            <w:shd w:val="clear" w:color="auto" w:fill="D9D9D9" w:themeFill="background1" w:themeFillShade="D9"/>
            <w:vAlign w:val="center"/>
          </w:tcPr>
          <w:p w14:paraId="78CD4138" w14:textId="77777777" w:rsidR="002B1DB7" w:rsidRPr="008138B5" w:rsidRDefault="002B1DB7" w:rsidP="0060252D">
            <w:pPr>
              <w:widowControl w:val="0"/>
              <w:jc w:val="center"/>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Trainer Name/Signature</w:t>
            </w:r>
          </w:p>
        </w:tc>
        <w:tc>
          <w:tcPr>
            <w:tcW w:w="1447" w:type="dxa"/>
            <w:gridSpan w:val="2"/>
            <w:shd w:val="clear" w:color="auto" w:fill="D9D9D9" w:themeFill="background1" w:themeFillShade="D9"/>
            <w:vAlign w:val="center"/>
          </w:tcPr>
          <w:p w14:paraId="754C06A3" w14:textId="77777777" w:rsidR="002B1DB7" w:rsidRPr="008138B5" w:rsidRDefault="002B1DB7" w:rsidP="0060252D">
            <w:pPr>
              <w:widowControl w:val="0"/>
              <w:jc w:val="center"/>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Training Date</w:t>
            </w:r>
          </w:p>
        </w:tc>
      </w:tr>
      <w:tr w:rsidR="002B1DB7" w:rsidRPr="0061516E" w14:paraId="25D2ED0A" w14:textId="77777777" w:rsidTr="002B1DB7">
        <w:trPr>
          <w:gridBefore w:val="1"/>
          <w:wBefore w:w="15" w:type="dxa"/>
          <w:trHeight w:val="720"/>
        </w:trPr>
        <w:tc>
          <w:tcPr>
            <w:tcW w:w="6190" w:type="dxa"/>
            <w:shd w:val="clear" w:color="auto" w:fill="FFFFFF" w:themeFill="background1"/>
            <w:vAlign w:val="center"/>
          </w:tcPr>
          <w:p w14:paraId="39D1204F"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26D13AE3"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43CCE0A5"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2A1715C5" w14:textId="77777777" w:rsidTr="002B1DB7">
        <w:trPr>
          <w:gridBefore w:val="1"/>
          <w:wBefore w:w="15" w:type="dxa"/>
          <w:trHeight w:val="720"/>
        </w:trPr>
        <w:tc>
          <w:tcPr>
            <w:tcW w:w="6190" w:type="dxa"/>
            <w:shd w:val="clear" w:color="auto" w:fill="FFFFFF" w:themeFill="background1"/>
            <w:vAlign w:val="center"/>
          </w:tcPr>
          <w:p w14:paraId="27DC5CF8"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4BE762BF"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06C40C43"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1D460B67" w14:textId="77777777" w:rsidTr="002B1DB7">
        <w:trPr>
          <w:gridBefore w:val="1"/>
          <w:wBefore w:w="15" w:type="dxa"/>
          <w:trHeight w:val="720"/>
        </w:trPr>
        <w:tc>
          <w:tcPr>
            <w:tcW w:w="6190" w:type="dxa"/>
            <w:shd w:val="clear" w:color="auto" w:fill="FFFFFF" w:themeFill="background1"/>
            <w:vAlign w:val="center"/>
          </w:tcPr>
          <w:p w14:paraId="52AAFF95"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051BC8E1"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15F619BC"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096ADFC9" w14:textId="77777777" w:rsidTr="002B1DB7">
        <w:trPr>
          <w:gridBefore w:val="1"/>
          <w:wBefore w:w="15" w:type="dxa"/>
          <w:trHeight w:val="720"/>
        </w:trPr>
        <w:tc>
          <w:tcPr>
            <w:tcW w:w="6190" w:type="dxa"/>
            <w:shd w:val="clear" w:color="auto" w:fill="FFFFFF" w:themeFill="background1"/>
            <w:vAlign w:val="center"/>
          </w:tcPr>
          <w:p w14:paraId="23303A8C"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0C42D552"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7AFE50B3"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314A2C19" w14:textId="77777777" w:rsidTr="002B1DB7">
        <w:trPr>
          <w:gridBefore w:val="1"/>
          <w:wBefore w:w="15" w:type="dxa"/>
          <w:trHeight w:val="720"/>
        </w:trPr>
        <w:tc>
          <w:tcPr>
            <w:tcW w:w="6190" w:type="dxa"/>
            <w:shd w:val="clear" w:color="auto" w:fill="FFFFFF" w:themeFill="background1"/>
            <w:vAlign w:val="center"/>
          </w:tcPr>
          <w:p w14:paraId="6417E621"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03E45E1A"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6AFAC450"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1F777729" w14:textId="77777777" w:rsidTr="002B1DB7">
        <w:trPr>
          <w:gridBefore w:val="1"/>
          <w:wBefore w:w="15" w:type="dxa"/>
          <w:trHeight w:val="720"/>
        </w:trPr>
        <w:tc>
          <w:tcPr>
            <w:tcW w:w="6190" w:type="dxa"/>
            <w:shd w:val="clear" w:color="auto" w:fill="FFFFFF" w:themeFill="background1"/>
            <w:vAlign w:val="center"/>
          </w:tcPr>
          <w:p w14:paraId="058A7874"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2C3BA48D"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072487B9"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68FE8A0F" w14:textId="77777777" w:rsidTr="002B1DB7">
        <w:trPr>
          <w:gridBefore w:val="1"/>
          <w:wBefore w:w="15" w:type="dxa"/>
          <w:trHeight w:val="720"/>
        </w:trPr>
        <w:tc>
          <w:tcPr>
            <w:tcW w:w="6190" w:type="dxa"/>
            <w:shd w:val="clear" w:color="auto" w:fill="FFFFFF" w:themeFill="background1"/>
            <w:vAlign w:val="center"/>
          </w:tcPr>
          <w:p w14:paraId="45232727"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70A1D30A"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0B2A189A"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2B1DB7" w:rsidRPr="0061516E" w14:paraId="2E164045" w14:textId="77777777" w:rsidTr="002B1DB7">
        <w:trPr>
          <w:gridBefore w:val="1"/>
          <w:wBefore w:w="15" w:type="dxa"/>
          <w:trHeight w:val="720"/>
        </w:trPr>
        <w:tc>
          <w:tcPr>
            <w:tcW w:w="6190" w:type="dxa"/>
            <w:shd w:val="clear" w:color="auto" w:fill="FFFFFF" w:themeFill="background1"/>
            <w:vAlign w:val="center"/>
          </w:tcPr>
          <w:p w14:paraId="0803518C"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2788" w:type="dxa"/>
            <w:shd w:val="clear" w:color="auto" w:fill="FFFFFF" w:themeFill="background1"/>
            <w:vAlign w:val="center"/>
          </w:tcPr>
          <w:p w14:paraId="025C1126" w14:textId="77777777" w:rsidR="002B1DB7" w:rsidRPr="008138B5" w:rsidRDefault="002B1DB7" w:rsidP="00C85102">
            <w:pPr>
              <w:widowControl w:val="0"/>
              <w:rPr>
                <w:rFonts w:asciiTheme="minorHAnsi" w:eastAsia="Times New Roman" w:hAnsiTheme="minorHAnsi" w:cs="Aparajita"/>
                <w:snapToGrid w:val="0"/>
                <w:sz w:val="22"/>
                <w:szCs w:val="22"/>
              </w:rPr>
            </w:pPr>
          </w:p>
        </w:tc>
        <w:tc>
          <w:tcPr>
            <w:tcW w:w="1447" w:type="dxa"/>
            <w:gridSpan w:val="2"/>
            <w:shd w:val="clear" w:color="auto" w:fill="FFFFFF" w:themeFill="background1"/>
            <w:vAlign w:val="center"/>
          </w:tcPr>
          <w:p w14:paraId="210A9581" w14:textId="77777777" w:rsidR="002B1DB7" w:rsidRPr="008138B5" w:rsidRDefault="002B1DB7" w:rsidP="00C85102">
            <w:pPr>
              <w:widowControl w:val="0"/>
              <w:rPr>
                <w:rFonts w:asciiTheme="minorHAnsi" w:eastAsia="Times New Roman" w:hAnsiTheme="minorHAnsi" w:cs="Aparajita"/>
                <w:snapToGrid w:val="0"/>
                <w:sz w:val="22"/>
                <w:szCs w:val="22"/>
              </w:rPr>
            </w:pPr>
          </w:p>
        </w:tc>
      </w:tr>
      <w:tr w:rsidR="0060252D" w:rsidRPr="0061516E" w14:paraId="40464806" w14:textId="77777777" w:rsidTr="002B1DB7">
        <w:trPr>
          <w:gridBefore w:val="1"/>
          <w:wBefore w:w="15" w:type="dxa"/>
          <w:trHeight w:val="432"/>
        </w:trPr>
        <w:tc>
          <w:tcPr>
            <w:tcW w:w="10425" w:type="dxa"/>
            <w:gridSpan w:val="4"/>
            <w:shd w:val="clear" w:color="auto" w:fill="000E2F"/>
            <w:vAlign w:val="center"/>
          </w:tcPr>
          <w:p w14:paraId="26AC6FB5" w14:textId="77777777" w:rsidR="0060252D" w:rsidRPr="008138B5" w:rsidRDefault="00174A02" w:rsidP="0060252D">
            <w:pPr>
              <w:widowControl w:val="0"/>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SECTION 12B.</w:t>
            </w:r>
            <w:r w:rsidRPr="008138B5">
              <w:rPr>
                <w:rFonts w:asciiTheme="minorHAnsi" w:hAnsiTheme="minorHAnsi" w:cs="Aparajita"/>
                <w:b/>
                <w:sz w:val="22"/>
                <w:szCs w:val="22"/>
              </w:rPr>
              <w:t xml:space="preserve">    PRINCIPAL INVESTIGATOR CERTIFICATION</w:t>
            </w:r>
          </w:p>
        </w:tc>
      </w:tr>
      <w:tr w:rsidR="0060252D" w:rsidRPr="008138B5" w14:paraId="0A33ACE4" w14:textId="77777777" w:rsidTr="002B1DB7">
        <w:trPr>
          <w:gridAfter w:val="1"/>
          <w:wAfter w:w="15" w:type="dxa"/>
          <w:trHeight w:val="432"/>
        </w:trPr>
        <w:tc>
          <w:tcPr>
            <w:tcW w:w="10425" w:type="dxa"/>
            <w:gridSpan w:val="4"/>
            <w:shd w:val="clear" w:color="auto" w:fill="FFFFFF" w:themeFill="background1"/>
            <w:vAlign w:val="center"/>
          </w:tcPr>
          <w:p w14:paraId="6345DCC7" w14:textId="77777777" w:rsidR="0060252D" w:rsidRPr="008138B5" w:rsidRDefault="0060252D" w:rsidP="004A0961">
            <w:pPr>
              <w:widowControl w:val="0"/>
              <w:spacing w:before="40" w:after="40"/>
              <w:rPr>
                <w:rFonts w:asciiTheme="minorHAnsi" w:eastAsia="Times New Roman" w:hAnsiTheme="minorHAnsi" w:cs="Aparajita"/>
                <w:snapToGrid w:val="0"/>
                <w:sz w:val="22"/>
                <w:szCs w:val="22"/>
              </w:rPr>
            </w:pPr>
            <w:r w:rsidRPr="008138B5">
              <w:rPr>
                <w:rFonts w:asciiTheme="minorHAnsi" w:eastAsia="Times New Roman" w:hAnsiTheme="minorHAnsi" w:cs="Aparajita"/>
                <w:snapToGrid w:val="0"/>
                <w:sz w:val="22"/>
                <w:szCs w:val="22"/>
              </w:rPr>
              <w:t xml:space="preserve">I approve the contents of the </w:t>
            </w:r>
            <w:r w:rsidR="003603B7" w:rsidRPr="008138B5">
              <w:rPr>
                <w:rFonts w:asciiTheme="minorHAnsi" w:eastAsia="Times New Roman" w:hAnsiTheme="minorHAnsi" w:cs="Aparajita"/>
                <w:snapToGrid w:val="0"/>
                <w:sz w:val="22"/>
                <w:szCs w:val="22"/>
              </w:rPr>
              <w:t xml:space="preserve">lab-specific </w:t>
            </w:r>
            <w:r w:rsidRPr="008138B5">
              <w:rPr>
                <w:rFonts w:asciiTheme="minorHAnsi" w:eastAsia="Times New Roman" w:hAnsiTheme="minorHAnsi" w:cs="Aparajita"/>
                <w:snapToGrid w:val="0"/>
                <w:sz w:val="22"/>
                <w:szCs w:val="22"/>
              </w:rPr>
              <w:t>standard operating procedure listed above</w:t>
            </w:r>
            <w:r w:rsidR="004A0961" w:rsidRPr="008138B5">
              <w:rPr>
                <w:rFonts w:asciiTheme="minorHAnsi" w:eastAsia="Times New Roman" w:hAnsiTheme="minorHAnsi" w:cs="Aparajita"/>
                <w:snapToGrid w:val="0"/>
                <w:sz w:val="22"/>
                <w:szCs w:val="22"/>
              </w:rPr>
              <w:t>.</w:t>
            </w:r>
          </w:p>
        </w:tc>
      </w:tr>
      <w:tr w:rsidR="004A0961" w:rsidRPr="008138B5" w14:paraId="65A28C94" w14:textId="77777777" w:rsidTr="002B1DB7">
        <w:trPr>
          <w:gridAfter w:val="1"/>
          <w:wAfter w:w="15" w:type="dxa"/>
          <w:trHeight w:val="827"/>
        </w:trPr>
        <w:tc>
          <w:tcPr>
            <w:tcW w:w="8993" w:type="dxa"/>
            <w:gridSpan w:val="3"/>
            <w:shd w:val="clear" w:color="auto" w:fill="FFFFFF" w:themeFill="background1"/>
          </w:tcPr>
          <w:p w14:paraId="7B7C5E32" w14:textId="77777777" w:rsidR="0060252D" w:rsidRPr="008138B5" w:rsidRDefault="00012B2D" w:rsidP="002B1DB7">
            <w:pPr>
              <w:widowControl w:val="0"/>
              <w:spacing w:before="120"/>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 xml:space="preserve">PI </w:t>
            </w:r>
            <w:r w:rsidR="0060252D" w:rsidRPr="008138B5">
              <w:rPr>
                <w:rFonts w:asciiTheme="minorHAnsi" w:eastAsia="Times New Roman" w:hAnsiTheme="minorHAnsi" w:cs="Aparajita"/>
                <w:b/>
                <w:snapToGrid w:val="0"/>
                <w:sz w:val="22"/>
                <w:szCs w:val="22"/>
              </w:rPr>
              <w:t>Signature:</w:t>
            </w:r>
          </w:p>
        </w:tc>
        <w:tc>
          <w:tcPr>
            <w:tcW w:w="1432" w:type="dxa"/>
            <w:shd w:val="clear" w:color="auto" w:fill="FFFFFF" w:themeFill="background1"/>
          </w:tcPr>
          <w:p w14:paraId="6D36AD48" w14:textId="77777777" w:rsidR="0060252D" w:rsidRPr="008138B5" w:rsidRDefault="0060252D" w:rsidP="002B1DB7">
            <w:pPr>
              <w:widowControl w:val="0"/>
              <w:spacing w:before="120"/>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Date:</w:t>
            </w:r>
          </w:p>
        </w:tc>
      </w:tr>
      <w:tr w:rsidR="0060252D" w:rsidRPr="008138B5" w14:paraId="6F2ADD37" w14:textId="77777777" w:rsidTr="002B1DB7">
        <w:trPr>
          <w:gridAfter w:val="1"/>
          <w:wAfter w:w="15" w:type="dxa"/>
          <w:trHeight w:val="432"/>
        </w:trPr>
        <w:tc>
          <w:tcPr>
            <w:tcW w:w="10425" w:type="dxa"/>
            <w:gridSpan w:val="4"/>
            <w:shd w:val="clear" w:color="auto" w:fill="000E2F"/>
            <w:vAlign w:val="center"/>
          </w:tcPr>
          <w:p w14:paraId="27F7F97C" w14:textId="77777777" w:rsidR="0060252D" w:rsidRPr="008138B5" w:rsidRDefault="00174A02" w:rsidP="00174A02">
            <w:pPr>
              <w:widowControl w:val="0"/>
              <w:jc w:val="center"/>
              <w:rPr>
                <w:rFonts w:asciiTheme="minorHAnsi" w:eastAsia="Times New Roman" w:hAnsiTheme="minorHAnsi" w:cs="Aparajita"/>
                <w:b/>
                <w:snapToGrid w:val="0"/>
                <w:sz w:val="22"/>
                <w:szCs w:val="22"/>
              </w:rPr>
            </w:pPr>
            <w:r w:rsidRPr="008138B5">
              <w:rPr>
                <w:rFonts w:asciiTheme="minorHAnsi" w:eastAsia="Times New Roman" w:hAnsiTheme="minorHAnsi" w:cs="Aparajita"/>
                <w:b/>
                <w:snapToGrid w:val="0"/>
                <w:sz w:val="22"/>
                <w:szCs w:val="22"/>
              </w:rPr>
              <w:t xml:space="preserve">A HARD OR ELECTRONIC COPY </w:t>
            </w:r>
            <w:r w:rsidR="004A0961" w:rsidRPr="008138B5">
              <w:rPr>
                <w:rFonts w:asciiTheme="minorHAnsi" w:eastAsia="Times New Roman" w:hAnsiTheme="minorHAnsi" w:cs="Aparajita"/>
                <w:b/>
                <w:snapToGrid w:val="0"/>
                <w:sz w:val="22"/>
                <w:szCs w:val="22"/>
              </w:rPr>
              <w:t>(</w:t>
            </w:r>
            <w:r w:rsidR="002B1DB7" w:rsidRPr="008138B5">
              <w:rPr>
                <w:rFonts w:asciiTheme="minorHAnsi" w:eastAsia="Times New Roman" w:hAnsiTheme="minorHAnsi" w:cs="Aparajita"/>
                <w:b/>
                <w:snapToGrid w:val="0"/>
                <w:sz w:val="22"/>
                <w:szCs w:val="22"/>
              </w:rPr>
              <w:t xml:space="preserve">https://bruckner.research.uconn.edu/safety-resources/) </w:t>
            </w:r>
            <w:r w:rsidRPr="008138B5">
              <w:rPr>
                <w:rFonts w:asciiTheme="minorHAnsi" w:eastAsia="Times New Roman" w:hAnsiTheme="minorHAnsi" w:cs="Aparajita"/>
                <w:b/>
                <w:snapToGrid w:val="0"/>
                <w:sz w:val="22"/>
                <w:szCs w:val="22"/>
              </w:rPr>
              <w:t>OF EACH LAB-SPECIF</w:t>
            </w:r>
            <w:r w:rsidR="002B1DB7" w:rsidRPr="008138B5">
              <w:rPr>
                <w:rFonts w:asciiTheme="minorHAnsi" w:eastAsia="Times New Roman" w:hAnsiTheme="minorHAnsi" w:cs="Aparajita"/>
                <w:b/>
                <w:snapToGrid w:val="0"/>
                <w:sz w:val="22"/>
                <w:szCs w:val="22"/>
              </w:rPr>
              <w:t xml:space="preserve">IC STANDARD OPERATING PROCEDURE </w:t>
            </w:r>
            <w:r w:rsidRPr="008138B5">
              <w:rPr>
                <w:rFonts w:asciiTheme="minorHAnsi" w:eastAsia="Times New Roman" w:hAnsiTheme="minorHAnsi" w:cs="Aparajita"/>
                <w:b/>
                <w:snapToGrid w:val="0"/>
                <w:sz w:val="22"/>
                <w:szCs w:val="22"/>
              </w:rPr>
              <w:t>MUST BE READILY AVAILBALE IN THE LAB.</w:t>
            </w:r>
          </w:p>
        </w:tc>
      </w:tr>
    </w:tbl>
    <w:p w14:paraId="7EA84B9A" w14:textId="77777777" w:rsidR="00C17A51" w:rsidRPr="00C17A51" w:rsidRDefault="00C17A51" w:rsidP="00C17A51"/>
    <w:sectPr w:rsidR="00C17A51" w:rsidRPr="00C17A51" w:rsidSect="007869E3">
      <w:headerReference w:type="default" r:id="rId13"/>
      <w:footerReference w:type="default" r:id="rId14"/>
      <w:headerReference w:type="first" r:id="rId15"/>
      <w:footerReference w:type="first" r:id="rId16"/>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E75A" w14:textId="77777777" w:rsidR="00003F98" w:rsidRDefault="00003F98" w:rsidP="00F47BA4">
      <w:r>
        <w:separator/>
      </w:r>
    </w:p>
  </w:endnote>
  <w:endnote w:type="continuationSeparator" w:id="0">
    <w:p w14:paraId="1B5673EA" w14:textId="77777777" w:rsidR="00003F98" w:rsidRDefault="00003F98" w:rsidP="00F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parajita">
    <w:altName w:val="Devanagari Sangam MN"/>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692FA3E8" w14:textId="77777777" w:rsidR="00461004" w:rsidRPr="00932766" w:rsidRDefault="00461004" w:rsidP="00AC441D">
            <w:pPr>
              <w:pStyle w:val="Footer"/>
              <w:jc w:val="right"/>
            </w:pPr>
            <w:r w:rsidRPr="00932766">
              <w:rPr>
                <w:sz w:val="20"/>
                <w:szCs w:val="20"/>
              </w:rPr>
              <w:t xml:space="preserve">Page </w:t>
            </w:r>
            <w:r w:rsidRPr="00932766">
              <w:rPr>
                <w:bCs/>
                <w:sz w:val="20"/>
                <w:szCs w:val="20"/>
              </w:rPr>
              <w:fldChar w:fldCharType="begin"/>
            </w:r>
            <w:r w:rsidRPr="00932766">
              <w:rPr>
                <w:bCs/>
                <w:sz w:val="20"/>
                <w:szCs w:val="20"/>
              </w:rPr>
              <w:instrText xml:space="preserve"> PAGE </w:instrText>
            </w:r>
            <w:r w:rsidRPr="00932766">
              <w:rPr>
                <w:bCs/>
                <w:sz w:val="20"/>
                <w:szCs w:val="20"/>
              </w:rPr>
              <w:fldChar w:fldCharType="separate"/>
            </w:r>
            <w:r w:rsidR="00A4092F" w:rsidRPr="00932766">
              <w:rPr>
                <w:bCs/>
                <w:noProof/>
                <w:sz w:val="20"/>
                <w:szCs w:val="20"/>
              </w:rPr>
              <w:t>5</w:t>
            </w:r>
            <w:r w:rsidRPr="00932766">
              <w:rPr>
                <w:bCs/>
                <w:sz w:val="20"/>
                <w:szCs w:val="20"/>
              </w:rPr>
              <w:fldChar w:fldCharType="end"/>
            </w:r>
            <w:r w:rsidRPr="00932766">
              <w:rPr>
                <w:sz w:val="20"/>
                <w:szCs w:val="20"/>
              </w:rPr>
              <w:t xml:space="preserve"> of </w:t>
            </w:r>
            <w:r w:rsidRPr="00932766">
              <w:rPr>
                <w:bCs/>
                <w:sz w:val="20"/>
                <w:szCs w:val="20"/>
              </w:rPr>
              <w:fldChar w:fldCharType="begin"/>
            </w:r>
            <w:r w:rsidRPr="00932766">
              <w:rPr>
                <w:bCs/>
                <w:sz w:val="20"/>
                <w:szCs w:val="20"/>
              </w:rPr>
              <w:instrText xml:space="preserve"> NUMPAGES  </w:instrText>
            </w:r>
            <w:r w:rsidRPr="00932766">
              <w:rPr>
                <w:bCs/>
                <w:sz w:val="20"/>
                <w:szCs w:val="20"/>
              </w:rPr>
              <w:fldChar w:fldCharType="separate"/>
            </w:r>
            <w:r w:rsidR="00A4092F" w:rsidRPr="00932766">
              <w:rPr>
                <w:bCs/>
                <w:noProof/>
                <w:sz w:val="20"/>
                <w:szCs w:val="20"/>
              </w:rPr>
              <w:t>5</w:t>
            </w:r>
            <w:r w:rsidRPr="00932766">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2410357E" w14:textId="77777777" w:rsidR="00E14F85" w:rsidRPr="00932766" w:rsidRDefault="00461004" w:rsidP="00E14F85">
            <w:pPr>
              <w:pStyle w:val="Footer"/>
              <w:rPr>
                <w:sz w:val="20"/>
                <w:szCs w:val="20"/>
              </w:rPr>
            </w:pPr>
            <w:r w:rsidRPr="00932766">
              <w:rPr>
                <w:i/>
                <w:sz w:val="20"/>
                <w:szCs w:val="20"/>
              </w:rPr>
              <w:t>LSOP-Template</w:t>
            </w:r>
            <w:r w:rsidR="00E14F85" w:rsidRPr="00932766">
              <w:rPr>
                <w:i/>
                <w:sz w:val="20"/>
                <w:szCs w:val="20"/>
              </w:rPr>
              <w:t>-Revised 12-01-16</w:t>
            </w:r>
            <w:r w:rsidR="00AC441D" w:rsidRPr="00932766">
              <w:rPr>
                <w:i/>
                <w:sz w:val="20"/>
                <w:szCs w:val="20"/>
              </w:rPr>
              <w:t xml:space="preserve"> – populated 11/2017</w:t>
            </w:r>
            <w:r w:rsidRPr="00932766">
              <w:rPr>
                <w:sz w:val="20"/>
                <w:szCs w:val="20"/>
              </w:rPr>
              <w:t xml:space="preserve"> </w:t>
            </w:r>
            <w:sdt>
              <w:sdtPr>
                <w:rPr>
                  <w:sz w:val="20"/>
                  <w:szCs w:val="20"/>
                </w:rPr>
                <w:id w:val="-1769616900"/>
                <w:docPartObj>
                  <w:docPartGallery w:val="Page Numbers (Top of Page)"/>
                  <w:docPartUnique/>
                </w:docPartObj>
              </w:sdtPr>
              <w:sdtEndPr/>
              <w:sdtContent>
                <w:r w:rsidRPr="00932766">
                  <w:rPr>
                    <w:sz w:val="20"/>
                    <w:szCs w:val="20"/>
                  </w:rPr>
                  <w:t xml:space="preserve">                                                                                     Page </w:t>
                </w:r>
                <w:r w:rsidRPr="00932766">
                  <w:rPr>
                    <w:bCs/>
                    <w:sz w:val="20"/>
                    <w:szCs w:val="20"/>
                  </w:rPr>
                  <w:fldChar w:fldCharType="begin"/>
                </w:r>
                <w:r w:rsidRPr="00932766">
                  <w:rPr>
                    <w:bCs/>
                    <w:sz w:val="20"/>
                    <w:szCs w:val="20"/>
                  </w:rPr>
                  <w:instrText xml:space="preserve"> PAGE </w:instrText>
                </w:r>
                <w:r w:rsidRPr="00932766">
                  <w:rPr>
                    <w:bCs/>
                    <w:sz w:val="20"/>
                    <w:szCs w:val="20"/>
                  </w:rPr>
                  <w:fldChar w:fldCharType="separate"/>
                </w:r>
                <w:r w:rsidR="00A4092F" w:rsidRPr="00932766">
                  <w:rPr>
                    <w:bCs/>
                    <w:noProof/>
                    <w:sz w:val="20"/>
                    <w:szCs w:val="20"/>
                  </w:rPr>
                  <w:t>1</w:t>
                </w:r>
                <w:r w:rsidRPr="00932766">
                  <w:rPr>
                    <w:bCs/>
                    <w:sz w:val="20"/>
                    <w:szCs w:val="20"/>
                  </w:rPr>
                  <w:fldChar w:fldCharType="end"/>
                </w:r>
                <w:r w:rsidRPr="00932766">
                  <w:rPr>
                    <w:sz w:val="20"/>
                    <w:szCs w:val="20"/>
                  </w:rPr>
                  <w:t xml:space="preserve"> of </w:t>
                </w:r>
                <w:r w:rsidRPr="00932766">
                  <w:rPr>
                    <w:bCs/>
                    <w:sz w:val="20"/>
                    <w:szCs w:val="20"/>
                  </w:rPr>
                  <w:fldChar w:fldCharType="begin"/>
                </w:r>
                <w:r w:rsidRPr="00932766">
                  <w:rPr>
                    <w:bCs/>
                    <w:sz w:val="20"/>
                    <w:szCs w:val="20"/>
                  </w:rPr>
                  <w:instrText xml:space="preserve"> NUMPAGES  </w:instrText>
                </w:r>
                <w:r w:rsidRPr="00932766">
                  <w:rPr>
                    <w:bCs/>
                    <w:sz w:val="20"/>
                    <w:szCs w:val="20"/>
                  </w:rPr>
                  <w:fldChar w:fldCharType="separate"/>
                </w:r>
                <w:r w:rsidR="00A4092F" w:rsidRPr="00932766">
                  <w:rPr>
                    <w:bCs/>
                    <w:noProof/>
                    <w:sz w:val="20"/>
                    <w:szCs w:val="20"/>
                  </w:rPr>
                  <w:t>5</w:t>
                </w:r>
                <w:r w:rsidRPr="00932766">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FCA4" w14:textId="77777777" w:rsidR="00003F98" w:rsidRDefault="00003F98" w:rsidP="00F47BA4">
      <w:r>
        <w:separator/>
      </w:r>
    </w:p>
  </w:footnote>
  <w:footnote w:type="continuationSeparator" w:id="0">
    <w:p w14:paraId="527E6C91" w14:textId="77777777" w:rsidR="00003F98" w:rsidRDefault="00003F98" w:rsidP="00F4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DEEE"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A833" w14:textId="184CE5D9" w:rsidR="00C85102" w:rsidRPr="00932766" w:rsidRDefault="00630E7B" w:rsidP="00932766">
    <w:pPr>
      <w:tabs>
        <w:tab w:val="center" w:pos="4680"/>
        <w:tab w:val="right" w:pos="9360"/>
      </w:tabs>
      <w:ind w:left="-576"/>
    </w:pPr>
    <w:r w:rsidRPr="00630E7B">
      <w:rPr>
        <w:noProof/>
      </w:rPr>
      <mc:AlternateContent>
        <mc:Choice Requires="wps">
          <w:drawing>
            <wp:anchor distT="0" distB="0" distL="114300" distR="114300" simplePos="0" relativeHeight="251659264" behindDoc="0" locked="0" layoutInCell="1" allowOverlap="1" wp14:anchorId="64FE25B0" wp14:editId="04F8B8B8">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4AED3C6D"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0A340A20"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E25B0" id="_x0000_t202" coordsize="21600,21600" o:spt="202" path="m,l,21600r21600,l21600,xe">
              <v:stroke joinstyle="miter"/>
              <v:path gradientshapeok="t" o:connecttype="rect"/>
            </v:shapetype>
            <v:shape id="Text Box 6" o:spid="_x0000_s1026" type="#_x0000_t202" style="position:absolute;left:0;text-align:left;margin-left:228pt;margin-top:-5.4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" fillcolor="window" stroked="f" strokeweight=".5pt">
              <v:textbox>
                <w:txbxContent>
                  <w:p w14:paraId="4AED3C6D"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0A340A20"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54D30DE9" wp14:editId="3FC97DC9">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FBE"/>
    <w:multiLevelType w:val="hybridMultilevel"/>
    <w:tmpl w:val="885A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E7E"/>
    <w:multiLevelType w:val="hybridMultilevel"/>
    <w:tmpl w:val="4D0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202F"/>
    <w:multiLevelType w:val="hybridMultilevel"/>
    <w:tmpl w:val="81F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F1148"/>
    <w:multiLevelType w:val="hybridMultilevel"/>
    <w:tmpl w:val="4FE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10A29"/>
    <w:multiLevelType w:val="hybridMultilevel"/>
    <w:tmpl w:val="159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38B"/>
    <w:multiLevelType w:val="hybridMultilevel"/>
    <w:tmpl w:val="13D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442"/>
    <w:multiLevelType w:val="hybridMultilevel"/>
    <w:tmpl w:val="58C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03F"/>
    <w:multiLevelType w:val="hybridMultilevel"/>
    <w:tmpl w:val="977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F34967"/>
    <w:multiLevelType w:val="hybridMultilevel"/>
    <w:tmpl w:val="8E7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A5171"/>
    <w:multiLevelType w:val="hybridMultilevel"/>
    <w:tmpl w:val="274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01FDC"/>
    <w:multiLevelType w:val="hybridMultilevel"/>
    <w:tmpl w:val="F84A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23C94"/>
    <w:multiLevelType w:val="hybridMultilevel"/>
    <w:tmpl w:val="7F20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C307C"/>
    <w:multiLevelType w:val="hybridMultilevel"/>
    <w:tmpl w:val="987A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311404"/>
    <w:multiLevelType w:val="hybridMultilevel"/>
    <w:tmpl w:val="A5763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3539F"/>
    <w:multiLevelType w:val="hybridMultilevel"/>
    <w:tmpl w:val="3784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57310"/>
    <w:multiLevelType w:val="hybridMultilevel"/>
    <w:tmpl w:val="AA2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C1DE6"/>
    <w:multiLevelType w:val="hybridMultilevel"/>
    <w:tmpl w:val="634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038B"/>
    <w:multiLevelType w:val="hybridMultilevel"/>
    <w:tmpl w:val="590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6609D"/>
    <w:multiLevelType w:val="hybridMultilevel"/>
    <w:tmpl w:val="4524D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64ED8"/>
    <w:multiLevelType w:val="hybridMultilevel"/>
    <w:tmpl w:val="027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440FC"/>
    <w:multiLevelType w:val="hybridMultilevel"/>
    <w:tmpl w:val="A31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1102F"/>
    <w:multiLevelType w:val="hybridMultilevel"/>
    <w:tmpl w:val="320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96338"/>
    <w:multiLevelType w:val="hybridMultilevel"/>
    <w:tmpl w:val="A43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1"/>
  </w:num>
  <w:num w:numId="5">
    <w:abstractNumId w:val="8"/>
  </w:num>
  <w:num w:numId="6">
    <w:abstractNumId w:val="27"/>
  </w:num>
  <w:num w:numId="7">
    <w:abstractNumId w:val="9"/>
  </w:num>
  <w:num w:numId="8">
    <w:abstractNumId w:val="18"/>
  </w:num>
  <w:num w:numId="9">
    <w:abstractNumId w:val="6"/>
  </w:num>
  <w:num w:numId="10">
    <w:abstractNumId w:val="0"/>
  </w:num>
  <w:num w:numId="11">
    <w:abstractNumId w:val="1"/>
  </w:num>
  <w:num w:numId="12">
    <w:abstractNumId w:val="24"/>
  </w:num>
  <w:num w:numId="13">
    <w:abstractNumId w:val="21"/>
  </w:num>
  <w:num w:numId="14">
    <w:abstractNumId w:val="30"/>
  </w:num>
  <w:num w:numId="15">
    <w:abstractNumId w:val="14"/>
  </w:num>
  <w:num w:numId="16">
    <w:abstractNumId w:val="4"/>
  </w:num>
  <w:num w:numId="17">
    <w:abstractNumId w:val="7"/>
  </w:num>
  <w:num w:numId="18">
    <w:abstractNumId w:val="32"/>
  </w:num>
  <w:num w:numId="19">
    <w:abstractNumId w:val="25"/>
  </w:num>
  <w:num w:numId="20">
    <w:abstractNumId w:val="16"/>
  </w:num>
  <w:num w:numId="21">
    <w:abstractNumId w:val="12"/>
  </w:num>
  <w:num w:numId="22">
    <w:abstractNumId w:val="20"/>
  </w:num>
  <w:num w:numId="23">
    <w:abstractNumId w:val="13"/>
  </w:num>
  <w:num w:numId="24">
    <w:abstractNumId w:val="3"/>
  </w:num>
  <w:num w:numId="25">
    <w:abstractNumId w:val="26"/>
  </w:num>
  <w:num w:numId="26">
    <w:abstractNumId w:val="17"/>
  </w:num>
  <w:num w:numId="27">
    <w:abstractNumId w:val="29"/>
  </w:num>
  <w:num w:numId="28">
    <w:abstractNumId w:val="10"/>
  </w:num>
  <w:num w:numId="29">
    <w:abstractNumId w:val="22"/>
  </w:num>
  <w:num w:numId="30">
    <w:abstractNumId w:val="2"/>
  </w:num>
  <w:num w:numId="31">
    <w:abstractNumId w:val="19"/>
  </w:num>
  <w:num w:numId="32">
    <w:abstractNumId w:val="2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0sx5xx3fsxf1e9dzopwerwst25f22wxtav&quot;&gt;My EndNote Library&lt;record-ids&gt;&lt;item&gt;21&lt;/item&gt;&lt;/record-ids&gt;&lt;/item&gt;&lt;/Libraries&gt;"/>
  </w:docVars>
  <w:rsids>
    <w:rsidRoot w:val="00682982"/>
    <w:rsid w:val="0000125A"/>
    <w:rsid w:val="00003F98"/>
    <w:rsid w:val="000045BC"/>
    <w:rsid w:val="00006035"/>
    <w:rsid w:val="00012B2D"/>
    <w:rsid w:val="000316E3"/>
    <w:rsid w:val="00035807"/>
    <w:rsid w:val="000520B6"/>
    <w:rsid w:val="000570F1"/>
    <w:rsid w:val="000630A4"/>
    <w:rsid w:val="00076E8D"/>
    <w:rsid w:val="00093F40"/>
    <w:rsid w:val="000A1A96"/>
    <w:rsid w:val="000A76FE"/>
    <w:rsid w:val="000B450F"/>
    <w:rsid w:val="000B4B58"/>
    <w:rsid w:val="000C0CCD"/>
    <w:rsid w:val="000D085C"/>
    <w:rsid w:val="000E171D"/>
    <w:rsid w:val="00105131"/>
    <w:rsid w:val="00113202"/>
    <w:rsid w:val="0011390D"/>
    <w:rsid w:val="00164DE5"/>
    <w:rsid w:val="00170D52"/>
    <w:rsid w:val="001711BA"/>
    <w:rsid w:val="00174A02"/>
    <w:rsid w:val="0017637E"/>
    <w:rsid w:val="00181E6C"/>
    <w:rsid w:val="00190254"/>
    <w:rsid w:val="001A54E5"/>
    <w:rsid w:val="001C59EE"/>
    <w:rsid w:val="001D5A8A"/>
    <w:rsid w:val="001E4A66"/>
    <w:rsid w:val="001F3616"/>
    <w:rsid w:val="00202ED1"/>
    <w:rsid w:val="00203D89"/>
    <w:rsid w:val="002111F0"/>
    <w:rsid w:val="00230C36"/>
    <w:rsid w:val="00236605"/>
    <w:rsid w:val="00241FD1"/>
    <w:rsid w:val="002521BB"/>
    <w:rsid w:val="002561C3"/>
    <w:rsid w:val="00286870"/>
    <w:rsid w:val="002B1DB7"/>
    <w:rsid w:val="002B765F"/>
    <w:rsid w:val="00302DE4"/>
    <w:rsid w:val="003071B3"/>
    <w:rsid w:val="00312228"/>
    <w:rsid w:val="00333044"/>
    <w:rsid w:val="00334402"/>
    <w:rsid w:val="003603B7"/>
    <w:rsid w:val="00362737"/>
    <w:rsid w:val="00370010"/>
    <w:rsid w:val="00372EFD"/>
    <w:rsid w:val="00391962"/>
    <w:rsid w:val="003D2CF0"/>
    <w:rsid w:val="003D78C0"/>
    <w:rsid w:val="003F31AA"/>
    <w:rsid w:val="003F4C6D"/>
    <w:rsid w:val="004074D6"/>
    <w:rsid w:val="00417B69"/>
    <w:rsid w:val="00427210"/>
    <w:rsid w:val="00447D5B"/>
    <w:rsid w:val="00454B4E"/>
    <w:rsid w:val="00456C66"/>
    <w:rsid w:val="00461004"/>
    <w:rsid w:val="00466E18"/>
    <w:rsid w:val="0046756D"/>
    <w:rsid w:val="00473A49"/>
    <w:rsid w:val="00480FD1"/>
    <w:rsid w:val="00481C75"/>
    <w:rsid w:val="00482C81"/>
    <w:rsid w:val="004858EC"/>
    <w:rsid w:val="004A0961"/>
    <w:rsid w:val="004C64FE"/>
    <w:rsid w:val="004D48FE"/>
    <w:rsid w:val="004D7395"/>
    <w:rsid w:val="004D7938"/>
    <w:rsid w:val="004F7A77"/>
    <w:rsid w:val="005106D4"/>
    <w:rsid w:val="00510912"/>
    <w:rsid w:val="00512C43"/>
    <w:rsid w:val="00517B30"/>
    <w:rsid w:val="0056112D"/>
    <w:rsid w:val="00564E38"/>
    <w:rsid w:val="005704F6"/>
    <w:rsid w:val="00572E92"/>
    <w:rsid w:val="00595E1A"/>
    <w:rsid w:val="005A37CF"/>
    <w:rsid w:val="005A63AD"/>
    <w:rsid w:val="005A7FCC"/>
    <w:rsid w:val="005B4023"/>
    <w:rsid w:val="005B5F6D"/>
    <w:rsid w:val="005C6A05"/>
    <w:rsid w:val="005D5891"/>
    <w:rsid w:val="005D7B8F"/>
    <w:rsid w:val="005E51F6"/>
    <w:rsid w:val="005F2ADA"/>
    <w:rsid w:val="006014FF"/>
    <w:rsid w:val="0060252D"/>
    <w:rsid w:val="00607077"/>
    <w:rsid w:val="0061516E"/>
    <w:rsid w:val="00630E7B"/>
    <w:rsid w:val="006405D4"/>
    <w:rsid w:val="0064264A"/>
    <w:rsid w:val="0064635F"/>
    <w:rsid w:val="00664496"/>
    <w:rsid w:val="00665470"/>
    <w:rsid w:val="00682982"/>
    <w:rsid w:val="00690988"/>
    <w:rsid w:val="0069377E"/>
    <w:rsid w:val="0069681E"/>
    <w:rsid w:val="006A7C58"/>
    <w:rsid w:val="006A7E07"/>
    <w:rsid w:val="006B629B"/>
    <w:rsid w:val="006C521D"/>
    <w:rsid w:val="006D6622"/>
    <w:rsid w:val="006F273D"/>
    <w:rsid w:val="00705A23"/>
    <w:rsid w:val="007522D5"/>
    <w:rsid w:val="00774502"/>
    <w:rsid w:val="007869E3"/>
    <w:rsid w:val="007B5D1C"/>
    <w:rsid w:val="007B71F9"/>
    <w:rsid w:val="007D4394"/>
    <w:rsid w:val="007E5EFC"/>
    <w:rsid w:val="007E77FA"/>
    <w:rsid w:val="008138B5"/>
    <w:rsid w:val="00835F4A"/>
    <w:rsid w:val="00842745"/>
    <w:rsid w:val="008B1269"/>
    <w:rsid w:val="008D5B83"/>
    <w:rsid w:val="008F47CC"/>
    <w:rsid w:val="00911D65"/>
    <w:rsid w:val="00925070"/>
    <w:rsid w:val="00932766"/>
    <w:rsid w:val="00952D83"/>
    <w:rsid w:val="00954999"/>
    <w:rsid w:val="0096613A"/>
    <w:rsid w:val="00983D3C"/>
    <w:rsid w:val="0098572B"/>
    <w:rsid w:val="009B2D26"/>
    <w:rsid w:val="009B3311"/>
    <w:rsid w:val="009C65C9"/>
    <w:rsid w:val="009F0B74"/>
    <w:rsid w:val="009F28F5"/>
    <w:rsid w:val="00A030D5"/>
    <w:rsid w:val="00A07683"/>
    <w:rsid w:val="00A12A39"/>
    <w:rsid w:val="00A14F3D"/>
    <w:rsid w:val="00A17111"/>
    <w:rsid w:val="00A23588"/>
    <w:rsid w:val="00A274E1"/>
    <w:rsid w:val="00A31C67"/>
    <w:rsid w:val="00A3281A"/>
    <w:rsid w:val="00A4092F"/>
    <w:rsid w:val="00A522B6"/>
    <w:rsid w:val="00AA63AA"/>
    <w:rsid w:val="00AC26D7"/>
    <w:rsid w:val="00AC441D"/>
    <w:rsid w:val="00AD2880"/>
    <w:rsid w:val="00AE5261"/>
    <w:rsid w:val="00AF7AAF"/>
    <w:rsid w:val="00B00000"/>
    <w:rsid w:val="00B25C2C"/>
    <w:rsid w:val="00B346C1"/>
    <w:rsid w:val="00B348D7"/>
    <w:rsid w:val="00B6033D"/>
    <w:rsid w:val="00B613D4"/>
    <w:rsid w:val="00B75DBE"/>
    <w:rsid w:val="00B84A25"/>
    <w:rsid w:val="00BC3EDC"/>
    <w:rsid w:val="00BC5475"/>
    <w:rsid w:val="00BE7B97"/>
    <w:rsid w:val="00BF4C67"/>
    <w:rsid w:val="00C06577"/>
    <w:rsid w:val="00C17A51"/>
    <w:rsid w:val="00C203B0"/>
    <w:rsid w:val="00C37F40"/>
    <w:rsid w:val="00C67366"/>
    <w:rsid w:val="00C76674"/>
    <w:rsid w:val="00C85102"/>
    <w:rsid w:val="00C94DA5"/>
    <w:rsid w:val="00CB06C9"/>
    <w:rsid w:val="00CB2D2B"/>
    <w:rsid w:val="00CB3CBF"/>
    <w:rsid w:val="00CB54B6"/>
    <w:rsid w:val="00CD38FE"/>
    <w:rsid w:val="00CE5449"/>
    <w:rsid w:val="00CE75EA"/>
    <w:rsid w:val="00D04011"/>
    <w:rsid w:val="00D07C8C"/>
    <w:rsid w:val="00D2620A"/>
    <w:rsid w:val="00D409EA"/>
    <w:rsid w:val="00D41B7B"/>
    <w:rsid w:val="00D52909"/>
    <w:rsid w:val="00D5755F"/>
    <w:rsid w:val="00D61BA2"/>
    <w:rsid w:val="00D61F7F"/>
    <w:rsid w:val="00D63B1D"/>
    <w:rsid w:val="00D71477"/>
    <w:rsid w:val="00D74DAC"/>
    <w:rsid w:val="00D74F73"/>
    <w:rsid w:val="00DC0789"/>
    <w:rsid w:val="00DD48FB"/>
    <w:rsid w:val="00DE5088"/>
    <w:rsid w:val="00DF0237"/>
    <w:rsid w:val="00E024E6"/>
    <w:rsid w:val="00E14202"/>
    <w:rsid w:val="00E14F85"/>
    <w:rsid w:val="00E4702C"/>
    <w:rsid w:val="00E51A8A"/>
    <w:rsid w:val="00E657D5"/>
    <w:rsid w:val="00E857C4"/>
    <w:rsid w:val="00E97F41"/>
    <w:rsid w:val="00EA36FA"/>
    <w:rsid w:val="00EB74D3"/>
    <w:rsid w:val="00EC0872"/>
    <w:rsid w:val="00EE3506"/>
    <w:rsid w:val="00EE63A0"/>
    <w:rsid w:val="00EF1869"/>
    <w:rsid w:val="00EF59DC"/>
    <w:rsid w:val="00F018D0"/>
    <w:rsid w:val="00F2798A"/>
    <w:rsid w:val="00F30BE3"/>
    <w:rsid w:val="00F412E4"/>
    <w:rsid w:val="00F41DED"/>
    <w:rsid w:val="00F47BA4"/>
    <w:rsid w:val="00F6708C"/>
    <w:rsid w:val="00F711C6"/>
    <w:rsid w:val="00F72EEE"/>
    <w:rsid w:val="00FA5B46"/>
    <w:rsid w:val="00FE4014"/>
    <w:rsid w:val="00FF4E32"/>
    <w:rsid w:val="00FF6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89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4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D4394"/>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6D6622"/>
    <w:rPr>
      <w:i/>
      <w:iCs/>
    </w:rPr>
  </w:style>
  <w:style w:type="paragraph" w:customStyle="1" w:styleId="EndNoteBibliographyTitle">
    <w:name w:val="EndNote Bibliography Title"/>
    <w:basedOn w:val="Normal"/>
    <w:rsid w:val="00F30BE3"/>
    <w:pPr>
      <w:spacing w:line="276" w:lineRule="auto"/>
      <w:jc w:val="center"/>
    </w:pPr>
    <w:rPr>
      <w:rFonts w:ascii="Calibri" w:hAnsi="Calibri" w:cstheme="minorBidi"/>
      <w:sz w:val="22"/>
      <w:szCs w:val="22"/>
    </w:rPr>
  </w:style>
  <w:style w:type="paragraph" w:customStyle="1" w:styleId="EndNoteBibliography">
    <w:name w:val="EndNote Bibliography"/>
    <w:basedOn w:val="Normal"/>
    <w:rsid w:val="00F30BE3"/>
    <w:pPr>
      <w:spacing w:after="200"/>
    </w:pPr>
    <w:rPr>
      <w:rFonts w:ascii="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877">
      <w:bodyDiv w:val="1"/>
      <w:marLeft w:val="0"/>
      <w:marRight w:val="0"/>
      <w:marTop w:val="0"/>
      <w:marBottom w:val="0"/>
      <w:divBdr>
        <w:top w:val="none" w:sz="0" w:space="0" w:color="auto"/>
        <w:left w:val="none" w:sz="0" w:space="0" w:color="auto"/>
        <w:bottom w:val="none" w:sz="0" w:space="0" w:color="auto"/>
        <w:right w:val="none" w:sz="0" w:space="0" w:color="auto"/>
      </w:divBdr>
    </w:div>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85214058">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247427568">
      <w:bodyDiv w:val="1"/>
      <w:marLeft w:val="0"/>
      <w:marRight w:val="0"/>
      <w:marTop w:val="0"/>
      <w:marBottom w:val="0"/>
      <w:divBdr>
        <w:top w:val="none" w:sz="0" w:space="0" w:color="auto"/>
        <w:left w:val="none" w:sz="0" w:space="0" w:color="auto"/>
        <w:bottom w:val="none" w:sz="0" w:space="0" w:color="auto"/>
        <w:right w:val="none" w:sz="0" w:space="0" w:color="auto"/>
      </w:divBdr>
    </w:div>
    <w:div w:id="330723311">
      <w:bodyDiv w:val="1"/>
      <w:marLeft w:val="0"/>
      <w:marRight w:val="0"/>
      <w:marTop w:val="0"/>
      <w:marBottom w:val="0"/>
      <w:divBdr>
        <w:top w:val="none" w:sz="0" w:space="0" w:color="auto"/>
        <w:left w:val="none" w:sz="0" w:space="0" w:color="auto"/>
        <w:bottom w:val="none" w:sz="0" w:space="0" w:color="auto"/>
        <w:right w:val="none" w:sz="0" w:space="0" w:color="auto"/>
      </w:divBdr>
    </w:div>
    <w:div w:id="339049467">
      <w:bodyDiv w:val="1"/>
      <w:marLeft w:val="0"/>
      <w:marRight w:val="0"/>
      <w:marTop w:val="0"/>
      <w:marBottom w:val="0"/>
      <w:divBdr>
        <w:top w:val="none" w:sz="0" w:space="0" w:color="auto"/>
        <w:left w:val="none" w:sz="0" w:space="0" w:color="auto"/>
        <w:bottom w:val="none" w:sz="0" w:space="0" w:color="auto"/>
        <w:right w:val="none" w:sz="0" w:space="0" w:color="auto"/>
      </w:divBdr>
    </w:div>
    <w:div w:id="339891496">
      <w:bodyDiv w:val="1"/>
      <w:marLeft w:val="0"/>
      <w:marRight w:val="0"/>
      <w:marTop w:val="0"/>
      <w:marBottom w:val="0"/>
      <w:divBdr>
        <w:top w:val="none" w:sz="0" w:space="0" w:color="auto"/>
        <w:left w:val="none" w:sz="0" w:space="0" w:color="auto"/>
        <w:bottom w:val="none" w:sz="0" w:space="0" w:color="auto"/>
        <w:right w:val="none" w:sz="0" w:space="0" w:color="auto"/>
      </w:divBdr>
    </w:div>
    <w:div w:id="379062225">
      <w:bodyDiv w:val="1"/>
      <w:marLeft w:val="0"/>
      <w:marRight w:val="0"/>
      <w:marTop w:val="0"/>
      <w:marBottom w:val="0"/>
      <w:divBdr>
        <w:top w:val="none" w:sz="0" w:space="0" w:color="auto"/>
        <w:left w:val="none" w:sz="0" w:space="0" w:color="auto"/>
        <w:bottom w:val="none" w:sz="0" w:space="0" w:color="auto"/>
        <w:right w:val="none" w:sz="0" w:space="0" w:color="auto"/>
      </w:divBdr>
    </w:div>
    <w:div w:id="616566401">
      <w:bodyDiv w:val="1"/>
      <w:marLeft w:val="0"/>
      <w:marRight w:val="0"/>
      <w:marTop w:val="0"/>
      <w:marBottom w:val="0"/>
      <w:divBdr>
        <w:top w:val="none" w:sz="0" w:space="0" w:color="auto"/>
        <w:left w:val="none" w:sz="0" w:space="0" w:color="auto"/>
        <w:bottom w:val="none" w:sz="0" w:space="0" w:color="auto"/>
        <w:right w:val="none" w:sz="0" w:space="0" w:color="auto"/>
      </w:divBdr>
    </w:div>
    <w:div w:id="753549147">
      <w:bodyDiv w:val="1"/>
      <w:marLeft w:val="0"/>
      <w:marRight w:val="0"/>
      <w:marTop w:val="0"/>
      <w:marBottom w:val="0"/>
      <w:divBdr>
        <w:top w:val="none" w:sz="0" w:space="0" w:color="auto"/>
        <w:left w:val="none" w:sz="0" w:space="0" w:color="auto"/>
        <w:bottom w:val="none" w:sz="0" w:space="0" w:color="auto"/>
        <w:right w:val="none" w:sz="0" w:space="0" w:color="auto"/>
      </w:divBdr>
    </w:div>
    <w:div w:id="759256183">
      <w:bodyDiv w:val="1"/>
      <w:marLeft w:val="0"/>
      <w:marRight w:val="0"/>
      <w:marTop w:val="0"/>
      <w:marBottom w:val="0"/>
      <w:divBdr>
        <w:top w:val="none" w:sz="0" w:space="0" w:color="auto"/>
        <w:left w:val="none" w:sz="0" w:space="0" w:color="auto"/>
        <w:bottom w:val="none" w:sz="0" w:space="0" w:color="auto"/>
        <w:right w:val="none" w:sz="0" w:space="0" w:color="auto"/>
      </w:divBdr>
    </w:div>
    <w:div w:id="988289606">
      <w:bodyDiv w:val="1"/>
      <w:marLeft w:val="0"/>
      <w:marRight w:val="0"/>
      <w:marTop w:val="0"/>
      <w:marBottom w:val="0"/>
      <w:divBdr>
        <w:top w:val="none" w:sz="0" w:space="0" w:color="auto"/>
        <w:left w:val="none" w:sz="0" w:space="0" w:color="auto"/>
        <w:bottom w:val="none" w:sz="0" w:space="0" w:color="auto"/>
        <w:right w:val="none" w:sz="0" w:space="0" w:color="auto"/>
      </w:divBdr>
    </w:div>
    <w:div w:id="1124231176">
      <w:bodyDiv w:val="1"/>
      <w:marLeft w:val="0"/>
      <w:marRight w:val="0"/>
      <w:marTop w:val="0"/>
      <w:marBottom w:val="0"/>
      <w:divBdr>
        <w:top w:val="none" w:sz="0" w:space="0" w:color="auto"/>
        <w:left w:val="none" w:sz="0" w:space="0" w:color="auto"/>
        <w:bottom w:val="none" w:sz="0" w:space="0" w:color="auto"/>
        <w:right w:val="none" w:sz="0" w:space="0" w:color="auto"/>
      </w:divBdr>
    </w:div>
    <w:div w:id="1288510658">
      <w:bodyDiv w:val="1"/>
      <w:marLeft w:val="0"/>
      <w:marRight w:val="0"/>
      <w:marTop w:val="0"/>
      <w:marBottom w:val="0"/>
      <w:divBdr>
        <w:top w:val="none" w:sz="0" w:space="0" w:color="auto"/>
        <w:left w:val="none" w:sz="0" w:space="0" w:color="auto"/>
        <w:bottom w:val="none" w:sz="0" w:space="0" w:color="auto"/>
        <w:right w:val="none" w:sz="0" w:space="0" w:color="auto"/>
      </w:divBdr>
    </w:div>
    <w:div w:id="1293823618">
      <w:bodyDiv w:val="1"/>
      <w:marLeft w:val="0"/>
      <w:marRight w:val="0"/>
      <w:marTop w:val="0"/>
      <w:marBottom w:val="0"/>
      <w:divBdr>
        <w:top w:val="none" w:sz="0" w:space="0" w:color="auto"/>
        <w:left w:val="none" w:sz="0" w:space="0" w:color="auto"/>
        <w:bottom w:val="none" w:sz="0" w:space="0" w:color="auto"/>
        <w:right w:val="none" w:sz="0" w:space="0" w:color="auto"/>
      </w:divBdr>
    </w:div>
    <w:div w:id="1471895974">
      <w:bodyDiv w:val="1"/>
      <w:marLeft w:val="0"/>
      <w:marRight w:val="0"/>
      <w:marTop w:val="0"/>
      <w:marBottom w:val="0"/>
      <w:divBdr>
        <w:top w:val="none" w:sz="0" w:space="0" w:color="auto"/>
        <w:left w:val="none" w:sz="0" w:space="0" w:color="auto"/>
        <w:bottom w:val="none" w:sz="0" w:space="0" w:color="auto"/>
        <w:right w:val="none" w:sz="0" w:space="0" w:color="auto"/>
      </w:divBdr>
    </w:div>
    <w:div w:id="1532108161">
      <w:bodyDiv w:val="1"/>
      <w:marLeft w:val="0"/>
      <w:marRight w:val="0"/>
      <w:marTop w:val="0"/>
      <w:marBottom w:val="0"/>
      <w:divBdr>
        <w:top w:val="none" w:sz="0" w:space="0" w:color="auto"/>
        <w:left w:val="none" w:sz="0" w:space="0" w:color="auto"/>
        <w:bottom w:val="none" w:sz="0" w:space="0" w:color="auto"/>
        <w:right w:val="none" w:sz="0" w:space="0" w:color="auto"/>
      </w:divBdr>
    </w:div>
    <w:div w:id="1582254437">
      <w:bodyDiv w:val="1"/>
      <w:marLeft w:val="0"/>
      <w:marRight w:val="0"/>
      <w:marTop w:val="0"/>
      <w:marBottom w:val="0"/>
      <w:divBdr>
        <w:top w:val="none" w:sz="0" w:space="0" w:color="auto"/>
        <w:left w:val="none" w:sz="0" w:space="0" w:color="auto"/>
        <w:bottom w:val="none" w:sz="0" w:space="0" w:color="auto"/>
        <w:right w:val="none" w:sz="0" w:space="0" w:color="auto"/>
      </w:divBdr>
    </w:div>
    <w:div w:id="1674718288">
      <w:bodyDiv w:val="1"/>
      <w:marLeft w:val="0"/>
      <w:marRight w:val="0"/>
      <w:marTop w:val="0"/>
      <w:marBottom w:val="0"/>
      <w:divBdr>
        <w:top w:val="none" w:sz="0" w:space="0" w:color="auto"/>
        <w:left w:val="none" w:sz="0" w:space="0" w:color="auto"/>
        <w:bottom w:val="none" w:sz="0" w:space="0" w:color="auto"/>
        <w:right w:val="none" w:sz="0" w:space="0" w:color="auto"/>
      </w:divBdr>
    </w:div>
    <w:div w:id="1946577853">
      <w:bodyDiv w:val="1"/>
      <w:marLeft w:val="0"/>
      <w:marRight w:val="0"/>
      <w:marTop w:val="0"/>
      <w:marBottom w:val="0"/>
      <w:divBdr>
        <w:top w:val="none" w:sz="0" w:space="0" w:color="auto"/>
        <w:left w:val="none" w:sz="0" w:space="0" w:color="auto"/>
        <w:bottom w:val="none" w:sz="0" w:space="0" w:color="auto"/>
        <w:right w:val="none" w:sz="0" w:space="0" w:color="auto"/>
      </w:divBdr>
    </w:div>
    <w:div w:id="20069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conn.edu/2011/05/17/employee-code-of-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nn.edu/2011/05/19/health-and-safety-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hs.uconn.edu/Chemical/ChemWasteDisp.pdf" TargetMode="External"/><Relationship Id="rId4" Type="http://schemas.openxmlformats.org/officeDocument/2006/relationships/settings" Target="settings.xml"/><Relationship Id="rId9" Type="http://schemas.openxmlformats.org/officeDocument/2006/relationships/hyperlink" Target="http://ehs.uconn.edu/Regulated%20Waste%20Management/index.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86C8-A919-1F44-84BB-35ADBAE4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204</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Thuita</dc:creator>
  <cp:keywords/>
  <dc:description/>
  <cp:lastModifiedBy>Microsoft Office User</cp:lastModifiedBy>
  <cp:revision>64</cp:revision>
  <cp:lastPrinted>2017-11-21T15:48:00Z</cp:lastPrinted>
  <dcterms:created xsi:type="dcterms:W3CDTF">2017-11-21T17:06:00Z</dcterms:created>
  <dcterms:modified xsi:type="dcterms:W3CDTF">2018-04-18T00:44:00Z</dcterms:modified>
</cp:coreProperties>
</file>