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6"/>
        <w:gridCol w:w="2089"/>
        <w:gridCol w:w="2051"/>
        <w:gridCol w:w="4684"/>
      </w:tblGrid>
      <w:tr w:rsidR="008F164B" w:rsidRPr="00C85102" w14:paraId="2021B35F" w14:textId="77777777" w:rsidTr="008F164B">
        <w:trPr>
          <w:trHeight w:val="720"/>
          <w:jc w:val="center"/>
        </w:trPr>
        <w:tc>
          <w:tcPr>
            <w:tcW w:w="10800" w:type="dxa"/>
            <w:gridSpan w:val="4"/>
            <w:shd w:val="clear" w:color="auto" w:fill="10253F"/>
            <w:vAlign w:val="center"/>
          </w:tcPr>
          <w:p w14:paraId="3EE96B63" w14:textId="77777777" w:rsidR="00C85102" w:rsidRPr="0079616B" w:rsidRDefault="00510912" w:rsidP="00510912">
            <w:pPr>
              <w:widowControl w:val="0"/>
              <w:spacing w:before="80" w:after="80" w:line="240" w:lineRule="auto"/>
              <w:jc w:val="center"/>
              <w:rPr>
                <w:rFonts w:ascii="Aparajita" w:eastAsia="Cambria" w:hAnsi="Aparajita" w:cs="Aparajita"/>
                <w:b/>
                <w:snapToGrid w:val="0"/>
                <w:color w:val="FFFFFF"/>
                <w:sz w:val="28"/>
                <w:szCs w:val="28"/>
              </w:rPr>
            </w:pPr>
            <w:r w:rsidRPr="0079616B">
              <w:rPr>
                <w:rFonts w:ascii="Aparajita" w:eastAsia="Times New Roman" w:hAnsi="Aparajita" w:cs="Aparajita"/>
                <w:b/>
                <w:snapToGrid w:val="0"/>
                <w:sz w:val="28"/>
                <w:szCs w:val="28"/>
              </w:rPr>
              <w:t xml:space="preserve">Brueckner </w:t>
            </w:r>
            <w:r w:rsidR="00C85102" w:rsidRPr="0079616B">
              <w:rPr>
                <w:rFonts w:ascii="Aparajita" w:eastAsia="Times New Roman" w:hAnsi="Aparajita" w:cs="Aparajita"/>
                <w:b/>
                <w:snapToGrid w:val="0"/>
                <w:sz w:val="28"/>
                <w:szCs w:val="28"/>
              </w:rPr>
              <w:t xml:space="preserve">Lab-Specific </w:t>
            </w:r>
            <w:r w:rsidR="00C85102" w:rsidRPr="0079616B">
              <w:rPr>
                <w:rFonts w:ascii="Aparajita" w:eastAsia="Times New Roman" w:hAnsi="Aparajita" w:cs="Aparajita"/>
                <w:b/>
                <w:snapToGrid w:val="0"/>
                <w:sz w:val="28"/>
                <w:szCs w:val="28"/>
              </w:rPr>
              <w:br w:type="page"/>
            </w:r>
            <w:r w:rsidR="00C85102" w:rsidRPr="0079616B">
              <w:rPr>
                <w:rFonts w:ascii="Aparajita" w:eastAsia="Cambria" w:hAnsi="Aparajita" w:cs="Aparajita"/>
                <w:b/>
                <w:snapToGrid w:val="0"/>
                <w:color w:val="FFFFFF"/>
                <w:sz w:val="28"/>
                <w:szCs w:val="28"/>
              </w:rPr>
              <w:t xml:space="preserve">Standard Operating Procedure </w:t>
            </w:r>
            <w:r w:rsidR="00AC441D" w:rsidRPr="0079616B">
              <w:rPr>
                <w:rFonts w:ascii="Aparajita" w:eastAsia="Cambria" w:hAnsi="Aparajita" w:cs="Aparajita"/>
                <w:b/>
                <w:snapToGrid w:val="0"/>
                <w:color w:val="FFFFFF"/>
                <w:sz w:val="28"/>
                <w:szCs w:val="28"/>
              </w:rPr>
              <w:t>(LSOP)</w:t>
            </w:r>
          </w:p>
          <w:p w14:paraId="1BC999E5" w14:textId="77777777" w:rsidR="0079616B" w:rsidRPr="00C85102" w:rsidRDefault="008F164B" w:rsidP="00510912">
            <w:pPr>
              <w:widowControl w:val="0"/>
              <w:spacing w:before="80" w:after="80" w:line="240" w:lineRule="auto"/>
              <w:jc w:val="center"/>
              <w:rPr>
                <w:rFonts w:ascii="Aparajita" w:eastAsia="Cambria" w:hAnsi="Aparajita" w:cs="Aparajita"/>
                <w:b/>
                <w:snapToGrid w:val="0"/>
                <w:color w:val="FFFFFF"/>
                <w:sz w:val="36"/>
                <w:szCs w:val="36"/>
              </w:rPr>
            </w:pPr>
            <w:r w:rsidRPr="008F164B">
              <w:rPr>
                <w:rFonts w:ascii="Aparajita" w:eastAsia="Cambria" w:hAnsi="Aparajita" w:cs="Aparajita"/>
                <w:b/>
                <w:snapToGrid w:val="0"/>
                <w:color w:val="FFFFFF"/>
                <w:sz w:val="28"/>
                <w:szCs w:val="28"/>
              </w:rPr>
              <w:t>Isopropanol-KOH Bath – Man Eater bath – Base Bath</w:t>
            </w:r>
          </w:p>
        </w:tc>
      </w:tr>
      <w:tr w:rsidR="008F164B" w:rsidRPr="00C85102" w14:paraId="1C9653A3" w14:textId="77777777" w:rsidTr="008F164B">
        <w:trPr>
          <w:trHeight w:val="432"/>
          <w:jc w:val="center"/>
        </w:trPr>
        <w:tc>
          <w:tcPr>
            <w:tcW w:w="10800" w:type="dxa"/>
            <w:gridSpan w:val="4"/>
            <w:shd w:val="clear" w:color="auto" w:fill="FFFFFF" w:themeFill="background1"/>
            <w:vAlign w:val="center"/>
          </w:tcPr>
          <w:p w14:paraId="47EAFA6F"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8F164B" w:rsidRPr="00C85102" w14:paraId="278E7139" w14:textId="77777777" w:rsidTr="008F164B">
        <w:trPr>
          <w:trHeight w:val="432"/>
          <w:jc w:val="center"/>
        </w:trPr>
        <w:tc>
          <w:tcPr>
            <w:tcW w:w="6116" w:type="dxa"/>
            <w:gridSpan w:val="3"/>
            <w:shd w:val="clear" w:color="auto" w:fill="FFFFFF" w:themeFill="background1"/>
            <w:vAlign w:val="center"/>
          </w:tcPr>
          <w:p w14:paraId="4E13497D"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4684" w:type="dxa"/>
            <w:shd w:val="clear" w:color="auto" w:fill="FFFFFF" w:themeFill="background1"/>
            <w:vAlign w:val="center"/>
          </w:tcPr>
          <w:p w14:paraId="54F71FDE"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8F164B" w:rsidRPr="00C85102" w14:paraId="42BF959F" w14:textId="77777777" w:rsidTr="008F164B">
        <w:trPr>
          <w:trHeight w:val="432"/>
          <w:jc w:val="center"/>
        </w:trPr>
        <w:tc>
          <w:tcPr>
            <w:tcW w:w="6116" w:type="dxa"/>
            <w:gridSpan w:val="3"/>
            <w:shd w:val="clear" w:color="auto" w:fill="FFFFFF" w:themeFill="background1"/>
            <w:vAlign w:val="center"/>
          </w:tcPr>
          <w:p w14:paraId="1E9A6EED"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4684" w:type="dxa"/>
            <w:shd w:val="clear" w:color="auto" w:fill="FFFFFF" w:themeFill="background1"/>
            <w:vAlign w:val="center"/>
          </w:tcPr>
          <w:p w14:paraId="259E3E0F"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8F164B" w:rsidRPr="00F94616" w14:paraId="5F0F9996" w14:textId="77777777" w:rsidTr="008F164B">
        <w:trPr>
          <w:trHeight w:val="432"/>
          <w:jc w:val="center"/>
        </w:trPr>
        <w:tc>
          <w:tcPr>
            <w:tcW w:w="4065" w:type="dxa"/>
            <w:gridSpan w:val="2"/>
            <w:shd w:val="clear" w:color="auto" w:fill="D9D9D9" w:themeFill="background1" w:themeFillShade="D9"/>
            <w:vAlign w:val="center"/>
          </w:tcPr>
          <w:p w14:paraId="4ADBDC3D" w14:textId="77777777" w:rsidR="008F164B" w:rsidRPr="00F94616" w:rsidRDefault="008F164B" w:rsidP="00685D18">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Chemical</w:t>
            </w:r>
          </w:p>
        </w:tc>
        <w:tc>
          <w:tcPr>
            <w:tcW w:w="2051" w:type="dxa"/>
            <w:shd w:val="clear" w:color="auto" w:fill="D9D9D9" w:themeFill="background1" w:themeFillShade="D9"/>
            <w:vAlign w:val="center"/>
          </w:tcPr>
          <w:p w14:paraId="6F9CE414" w14:textId="77777777" w:rsidR="008F164B" w:rsidRPr="00F94616" w:rsidRDefault="008F164B" w:rsidP="00685D18">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GHS Pictogram</w:t>
            </w:r>
            <w:r>
              <w:rPr>
                <w:rFonts w:eastAsia="Times New Roman" w:cs="Aparajita"/>
                <w:b/>
                <w:iCs/>
                <w:snapToGrid w:val="0"/>
                <w:sz w:val="24"/>
                <w:szCs w:val="24"/>
              </w:rPr>
              <w:t>s</w:t>
            </w:r>
          </w:p>
        </w:tc>
        <w:tc>
          <w:tcPr>
            <w:tcW w:w="4684" w:type="dxa"/>
            <w:shd w:val="clear" w:color="auto" w:fill="D9D9D9" w:themeFill="background1" w:themeFillShade="D9"/>
            <w:vAlign w:val="center"/>
          </w:tcPr>
          <w:p w14:paraId="70E6BDE3" w14:textId="77777777" w:rsidR="008F164B" w:rsidRPr="00F94616" w:rsidRDefault="008F164B" w:rsidP="00685D18">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Definition</w:t>
            </w:r>
            <w:r>
              <w:rPr>
                <w:rFonts w:eastAsia="Times New Roman" w:cs="Aparajita"/>
                <w:b/>
                <w:iCs/>
                <w:snapToGrid w:val="0"/>
                <w:sz w:val="24"/>
                <w:szCs w:val="24"/>
              </w:rPr>
              <w:t>s</w:t>
            </w:r>
          </w:p>
        </w:tc>
      </w:tr>
      <w:tr w:rsidR="008F164B" w:rsidRPr="00F94616" w14:paraId="293E98F0" w14:textId="77777777" w:rsidTr="008F164B">
        <w:trPr>
          <w:trHeight w:val="2067"/>
          <w:jc w:val="center"/>
        </w:trPr>
        <w:tc>
          <w:tcPr>
            <w:tcW w:w="4065" w:type="dxa"/>
            <w:gridSpan w:val="2"/>
            <w:vAlign w:val="center"/>
          </w:tcPr>
          <w:p w14:paraId="7483ED86" w14:textId="77777777" w:rsidR="008F164B" w:rsidRPr="00F94616" w:rsidRDefault="008F164B" w:rsidP="00685D18">
            <w:pPr>
              <w:widowControl w:val="0"/>
              <w:spacing w:after="0" w:line="240" w:lineRule="auto"/>
              <w:jc w:val="center"/>
              <w:rPr>
                <w:rFonts w:eastAsia="Times New Roman" w:cs="Aparajita"/>
                <w:b/>
                <w:iCs/>
                <w:snapToGrid w:val="0"/>
              </w:rPr>
            </w:pPr>
            <w:proofErr w:type="spellStart"/>
            <w:r w:rsidRPr="00C364C3">
              <w:rPr>
                <w:rFonts w:eastAsia="Times New Roman" w:cs="Aparajita"/>
                <w:b/>
                <w:i/>
                <w:iCs/>
                <w:snapToGrid w:val="0"/>
                <w:vertAlign w:val="superscript"/>
              </w:rPr>
              <w:t>i</w:t>
            </w:r>
            <w:r>
              <w:rPr>
                <w:rFonts w:eastAsia="Times New Roman" w:cs="Aparajita"/>
                <w:b/>
                <w:iCs/>
                <w:snapToGrid w:val="0"/>
              </w:rPr>
              <w:t>PrOH</w:t>
            </w:r>
            <w:proofErr w:type="spellEnd"/>
            <w:r>
              <w:rPr>
                <w:rFonts w:eastAsia="Times New Roman" w:cs="Aparajita"/>
                <w:b/>
                <w:iCs/>
                <w:snapToGrid w:val="0"/>
              </w:rPr>
              <w:t>/KOH Bath</w:t>
            </w:r>
          </w:p>
        </w:tc>
        <w:tc>
          <w:tcPr>
            <w:tcW w:w="2051" w:type="dxa"/>
            <w:vAlign w:val="center"/>
          </w:tcPr>
          <w:p w14:paraId="043C2C50" w14:textId="77777777" w:rsidR="008F164B" w:rsidRPr="00F94616" w:rsidRDefault="008F164B" w:rsidP="00685D18">
            <w:pPr>
              <w:widowControl w:val="0"/>
              <w:spacing w:after="0" w:line="240" w:lineRule="auto"/>
              <w:jc w:val="center"/>
              <w:rPr>
                <w:rFonts w:eastAsia="Times New Roman" w:cs="Aparajita"/>
                <w:i/>
                <w:iCs/>
                <w:snapToGrid w:val="0"/>
              </w:rPr>
            </w:pPr>
            <w:r w:rsidRPr="00B731C8">
              <w:rPr>
                <w:rFonts w:eastAsia="Times New Roman" w:cs="Aparajita"/>
                <w:i/>
                <w:iCs/>
                <w:noProof/>
                <w:snapToGrid w:val="0"/>
              </w:rPr>
              <w:drawing>
                <wp:inline distT="0" distB="0" distL="0" distR="0" wp14:anchorId="7D5EE76F" wp14:editId="3CE1941F">
                  <wp:extent cx="630936" cy="630936"/>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 cy="630936"/>
                          </a:xfrm>
                          <a:prstGeom prst="rect">
                            <a:avLst/>
                          </a:prstGeom>
                        </pic:spPr>
                      </pic:pic>
                    </a:graphicData>
                  </a:graphic>
                </wp:inline>
              </w:drawing>
            </w:r>
            <w:r w:rsidRPr="00B731C8">
              <w:rPr>
                <w:rFonts w:eastAsia="Times New Roman" w:cs="Aparajita"/>
                <w:i/>
                <w:iCs/>
                <w:snapToGrid w:val="0"/>
              </w:rPr>
              <w:t xml:space="preserve"> </w:t>
            </w:r>
            <w:r w:rsidRPr="00B731C8">
              <w:rPr>
                <w:rFonts w:eastAsia="Times New Roman" w:cs="Aparajita"/>
                <w:i/>
                <w:iCs/>
                <w:noProof/>
                <w:snapToGrid w:val="0"/>
              </w:rPr>
              <w:drawing>
                <wp:inline distT="0" distB="0" distL="0" distR="0" wp14:anchorId="34FC3A69" wp14:editId="4B599D1E">
                  <wp:extent cx="630936" cy="63093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 cy="630936"/>
                          </a:xfrm>
                          <a:prstGeom prst="rect">
                            <a:avLst/>
                          </a:prstGeom>
                        </pic:spPr>
                      </pic:pic>
                    </a:graphicData>
                  </a:graphic>
                </wp:inline>
              </w:drawing>
            </w:r>
          </w:p>
        </w:tc>
        <w:tc>
          <w:tcPr>
            <w:tcW w:w="4684" w:type="dxa"/>
            <w:vAlign w:val="center"/>
          </w:tcPr>
          <w:p w14:paraId="137CABA4" w14:textId="35C0D012" w:rsidR="008F164B" w:rsidRDefault="008F164B" w:rsidP="00685D18">
            <w:pPr>
              <w:rPr>
                <w:rStyle w:val="Emphasis"/>
                <w:rFonts w:cs="Tahoma"/>
                <w:i w:val="0"/>
                <w:color w:val="000000"/>
                <w:shd w:val="clear" w:color="auto" w:fill="FFFFFF"/>
              </w:rPr>
            </w:pPr>
            <w:r>
              <w:rPr>
                <w:rStyle w:val="Emphasis"/>
                <w:rFonts w:cs="Tahoma"/>
                <w:b/>
                <w:color w:val="000000"/>
                <w:shd w:val="clear" w:color="auto" w:fill="FFFFFF"/>
              </w:rPr>
              <w:t xml:space="preserve">Corrosion – </w:t>
            </w:r>
            <w:r>
              <w:rPr>
                <w:rStyle w:val="Emphasis"/>
                <w:rFonts w:cs="Tahoma"/>
                <w:color w:val="000000"/>
                <w:shd w:val="clear" w:color="auto" w:fill="FFFFFF"/>
              </w:rPr>
              <w:t xml:space="preserve">causes irreversible </w:t>
            </w:r>
            <w:r w:rsidR="00395B54">
              <w:rPr>
                <w:rStyle w:val="Emphasis"/>
                <w:rFonts w:cs="Tahoma"/>
                <w:color w:val="000000"/>
                <w:shd w:val="clear" w:color="auto" w:fill="FFFFFF"/>
              </w:rPr>
              <w:t xml:space="preserve">damage to living </w:t>
            </w:r>
            <w:r w:rsidR="00391A30">
              <w:rPr>
                <w:rStyle w:val="Emphasis"/>
                <w:rFonts w:cs="Tahoma"/>
                <w:color w:val="000000"/>
                <w:shd w:val="clear" w:color="auto" w:fill="FFFFFF"/>
              </w:rPr>
              <w:t>tissue, includ</w:t>
            </w:r>
            <w:r>
              <w:rPr>
                <w:rStyle w:val="Emphasis"/>
                <w:rFonts w:cs="Tahoma"/>
                <w:color w:val="000000"/>
                <w:shd w:val="clear" w:color="auto" w:fill="FFFFFF"/>
              </w:rPr>
              <w:t>ing, but is not limited to, skin or ocular damage.</w:t>
            </w:r>
          </w:p>
          <w:p w14:paraId="30D17D5C" w14:textId="77777777" w:rsidR="008F164B" w:rsidRDefault="008F164B" w:rsidP="00685D18">
            <w:pPr>
              <w:rPr>
                <w:rStyle w:val="Emphasis"/>
                <w:rFonts w:cs="Tahoma"/>
                <w:i w:val="0"/>
                <w:color w:val="000000"/>
                <w:shd w:val="clear" w:color="auto" w:fill="FFFFFF"/>
              </w:rPr>
            </w:pPr>
          </w:p>
          <w:p w14:paraId="6FC2F089" w14:textId="77777777" w:rsidR="008F164B" w:rsidRPr="005C2465" w:rsidRDefault="008F164B" w:rsidP="00685D18">
            <w:pPr>
              <w:widowControl w:val="0"/>
              <w:spacing w:after="0" w:line="240" w:lineRule="auto"/>
              <w:rPr>
                <w:rStyle w:val="Emphasis"/>
                <w:rFonts w:cs="Tahoma"/>
                <w:i w:val="0"/>
                <w:color w:val="000000"/>
                <w:shd w:val="clear" w:color="auto" w:fill="FFFFFF"/>
              </w:rPr>
            </w:pPr>
            <w:r>
              <w:rPr>
                <w:rStyle w:val="Emphasis"/>
                <w:rFonts w:cs="Tahoma"/>
                <w:b/>
                <w:color w:val="000000"/>
                <w:shd w:val="clear" w:color="auto" w:fill="FFFFFF"/>
              </w:rPr>
              <w:t>Flammable</w:t>
            </w:r>
          </w:p>
          <w:p w14:paraId="2492A7DD" w14:textId="77777777" w:rsidR="008F164B" w:rsidRPr="00F94616" w:rsidRDefault="008F164B" w:rsidP="00685D18">
            <w:pPr>
              <w:widowControl w:val="0"/>
              <w:spacing w:after="0" w:line="240" w:lineRule="auto"/>
              <w:rPr>
                <w:rFonts w:cs="Tahoma"/>
                <w:color w:val="000000"/>
                <w:shd w:val="clear" w:color="auto" w:fill="FFFFFF"/>
              </w:rPr>
            </w:pPr>
          </w:p>
        </w:tc>
      </w:tr>
      <w:tr w:rsidR="008F164B" w:rsidRPr="00C85102" w14:paraId="35E8FFDF" w14:textId="77777777" w:rsidTr="008F164B">
        <w:trPr>
          <w:trHeight w:val="432"/>
          <w:jc w:val="center"/>
        </w:trPr>
        <w:tc>
          <w:tcPr>
            <w:tcW w:w="10800" w:type="dxa"/>
            <w:gridSpan w:val="4"/>
            <w:shd w:val="clear" w:color="auto" w:fill="000E2F"/>
            <w:vAlign w:val="center"/>
          </w:tcPr>
          <w:p w14:paraId="617DE5E2"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8F164B" w:rsidRPr="00362737" w14:paraId="6EA6F1A3" w14:textId="77777777" w:rsidTr="008F164B">
        <w:trPr>
          <w:trHeight w:val="432"/>
          <w:jc w:val="center"/>
        </w:trPr>
        <w:tc>
          <w:tcPr>
            <w:tcW w:w="10800" w:type="dxa"/>
            <w:gridSpan w:val="4"/>
            <w:shd w:val="clear" w:color="auto" w:fill="FFFFFF" w:themeFill="background1"/>
            <w:vAlign w:val="center"/>
          </w:tcPr>
          <w:p w14:paraId="46ACCFA6" w14:textId="77777777" w:rsidR="004A0961" w:rsidRPr="00362737" w:rsidRDefault="008F164B" w:rsidP="00E51A8A">
            <w:pPr>
              <w:widowControl w:val="0"/>
              <w:spacing w:before="80" w:after="80" w:line="240" w:lineRule="auto"/>
            </w:pPr>
            <w:r>
              <w:t>Commonly referred to as a base bath, it is used to clean glassware when regular detergent-based aqueous baths fail. It is a highly concentrated KOH solution used to dissolve contaminated glass surfaces. The isopropanol portion of the base baths is flammable. Flash fires may occur in the presence of ignition sources. The aqueous KOH portion highly corrosive. Fumes are harmful if inhaled over extended periods of time; the bath solution is extremely hazardous when ingested - may cause irreversible damage to the digestive tract, or when brought into contact with the skin or eyes. Skin contact causes burns and irritation; prolonged exposure may cause dermatitis. Eye contact may result in burns, irritation, and blindness.</w:t>
            </w:r>
          </w:p>
        </w:tc>
      </w:tr>
      <w:tr w:rsidR="008F164B" w:rsidRPr="00C85102" w14:paraId="7414E183" w14:textId="77777777" w:rsidTr="008F164B">
        <w:trPr>
          <w:trHeight w:val="432"/>
          <w:jc w:val="center"/>
        </w:trPr>
        <w:tc>
          <w:tcPr>
            <w:tcW w:w="10800" w:type="dxa"/>
            <w:gridSpan w:val="4"/>
            <w:shd w:val="clear" w:color="auto" w:fill="000E2F"/>
            <w:vAlign w:val="center"/>
          </w:tcPr>
          <w:p w14:paraId="1590EE5B"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8F164B" w:rsidRPr="00362737" w14:paraId="4D65267D" w14:textId="77777777" w:rsidTr="008F164B">
        <w:trPr>
          <w:trHeight w:val="432"/>
          <w:jc w:val="center"/>
        </w:trPr>
        <w:tc>
          <w:tcPr>
            <w:tcW w:w="10800" w:type="dxa"/>
            <w:gridSpan w:val="4"/>
            <w:shd w:val="clear" w:color="auto" w:fill="FFFFFF" w:themeFill="background1"/>
            <w:vAlign w:val="center"/>
          </w:tcPr>
          <w:p w14:paraId="601C513A" w14:textId="77777777" w:rsidR="000570F1" w:rsidRPr="000570F1" w:rsidRDefault="00842745" w:rsidP="000570F1">
            <w:pPr>
              <w:widowControl w:val="0"/>
              <w:spacing w:before="80" w:after="80" w:line="240" w:lineRule="auto"/>
            </w:pPr>
            <w:r w:rsidRPr="00362737">
              <w:t>List the administrative controls in pl</w:t>
            </w:r>
            <w:r w:rsidR="000570F1">
              <w:t>ace to limit exposure. E.g.: Are</w:t>
            </w:r>
            <w:r w:rsidR="000570F1" w:rsidRPr="00362737">
              <w:t xml:space="preserve"> “dry runs” of experiments </w:t>
            </w:r>
            <w:r w:rsidR="000570F1">
              <w:t>needed</w:t>
            </w:r>
            <w:r w:rsidR="000570F1" w:rsidRPr="00362737">
              <w:t xml:space="preserve">? Can less hazardous chemicals be </w:t>
            </w:r>
            <w:r w:rsidR="000570F1" w:rsidRPr="00362737">
              <w:rPr>
                <w:rFonts w:cs="Tahoma"/>
                <w:color w:val="000000"/>
                <w:shd w:val="clear" w:color="auto" w:fill="FFFFFF"/>
              </w:rPr>
              <w:t>substituted? Is all applicable emergency equipment present and w</w:t>
            </w:r>
            <w:r w:rsidR="000570F1">
              <w:rPr>
                <w:rFonts w:cs="Tahoma"/>
                <w:color w:val="000000"/>
                <w:shd w:val="clear" w:color="auto" w:fill="FFFFFF"/>
              </w:rPr>
              <w:t>orking properly?</w:t>
            </w:r>
          </w:p>
          <w:p w14:paraId="39651AFA" w14:textId="77777777" w:rsidR="0079616B" w:rsidRDefault="0079616B" w:rsidP="0079616B">
            <w:pPr>
              <w:pStyle w:val="ListParagraph"/>
              <w:widowControl w:val="0"/>
              <w:numPr>
                <w:ilvl w:val="0"/>
                <w:numId w:val="6"/>
              </w:numPr>
              <w:spacing w:before="80" w:after="80" w:line="240" w:lineRule="auto"/>
            </w:pPr>
            <w:r>
              <w:t xml:space="preserve">Anyone using the chemicals and procedures described herein needs to have undergone the annual EH&amp;S </w:t>
            </w:r>
            <w:hyperlink r:id="rId10" w:history="1">
              <w:r w:rsidRPr="007815C3">
                <w:rPr>
                  <w:rStyle w:val="Hyperlink"/>
                </w:rPr>
                <w:t>Chemical Hygiene Training</w:t>
              </w:r>
            </w:hyperlink>
            <w:r>
              <w:t>:</w:t>
            </w:r>
          </w:p>
          <w:p w14:paraId="76C8BACA" w14:textId="15080E0F" w:rsidR="0079616B" w:rsidRDefault="0079616B" w:rsidP="0079616B">
            <w:pPr>
              <w:pStyle w:val="ListParagraph"/>
              <w:widowControl w:val="0"/>
              <w:numPr>
                <w:ilvl w:val="0"/>
                <w:numId w:val="6"/>
              </w:numPr>
              <w:spacing w:before="80" w:after="80" w:line="240" w:lineRule="auto"/>
            </w:pPr>
            <w:r>
              <w:t xml:space="preserve">Be aware of the </w:t>
            </w:r>
            <w:r w:rsidRPr="00362737">
              <w:t>applicable safety data sheets</w:t>
            </w:r>
            <w:r w:rsidR="00391A30">
              <w:t xml:space="preserve"> (</w:t>
            </w:r>
            <w:r>
              <w:t xml:space="preserve">SDS): </w:t>
            </w:r>
            <w:hyperlink r:id="rId11" w:history="1">
              <w:r w:rsidRPr="009254A8">
                <w:rPr>
                  <w:rStyle w:val="Hyperlink"/>
                  <w:rFonts w:eastAsia="Times New Roman" w:cs="Aparajita"/>
                  <w:snapToGrid w:val="0"/>
                </w:rPr>
                <w:t>http://www.msds.com</w:t>
              </w:r>
            </w:hyperlink>
          </w:p>
          <w:p w14:paraId="0DB2CCA6" w14:textId="77777777" w:rsidR="0079616B" w:rsidRPr="00B82B69" w:rsidRDefault="00E424D2" w:rsidP="0079616B">
            <w:pPr>
              <w:pStyle w:val="ListParagraph"/>
              <w:widowControl w:val="0"/>
              <w:numPr>
                <w:ilvl w:val="0"/>
                <w:numId w:val="6"/>
              </w:numPr>
              <w:spacing w:before="80" w:after="80" w:line="240" w:lineRule="auto"/>
              <w:rPr>
                <w:rFonts w:cs="Tahoma"/>
                <w:color w:val="000000"/>
                <w:shd w:val="clear" w:color="auto" w:fill="FFFFFF"/>
              </w:rPr>
            </w:pPr>
            <w:hyperlink r:id="rId12" w:history="1">
              <w:r w:rsidR="0079616B" w:rsidRPr="00362737">
                <w:rPr>
                  <w:rStyle w:val="Hyperlink"/>
                </w:rPr>
                <w:t>Working Alone</w:t>
              </w:r>
            </w:hyperlink>
            <w:r w:rsidR="0079616B" w:rsidRPr="00362737">
              <w:t xml:space="preserve"> </w:t>
            </w:r>
            <w:r w:rsidR="0079616B">
              <w:t>is not permitted when using chemicals or processes described in this LSOP</w:t>
            </w:r>
          </w:p>
          <w:p w14:paraId="1F61BA1F" w14:textId="77777777" w:rsidR="0079616B" w:rsidRDefault="008F164B" w:rsidP="0079616B">
            <w:pPr>
              <w:pStyle w:val="ListParagraph"/>
              <w:widowControl w:val="0"/>
              <w:numPr>
                <w:ilvl w:val="0"/>
                <w:numId w:val="6"/>
              </w:numPr>
              <w:spacing w:before="80" w:after="80" w:line="240" w:lineRule="auto"/>
              <w:rPr>
                <w:rFonts w:cs="Tahoma"/>
                <w:color w:val="000000"/>
                <w:shd w:val="clear" w:color="auto" w:fill="FFFFFF"/>
              </w:rPr>
            </w:pPr>
            <w:r>
              <w:rPr>
                <w:rFonts w:cs="Tahoma"/>
                <w:color w:val="000000"/>
                <w:shd w:val="clear" w:color="auto" w:fill="FFFFFF"/>
              </w:rPr>
              <w:t xml:space="preserve">The base bath </w:t>
            </w:r>
            <w:r w:rsidR="0079616B">
              <w:rPr>
                <w:rFonts w:cs="Tahoma"/>
                <w:color w:val="000000"/>
                <w:shd w:val="clear" w:color="auto" w:fill="FFFFFF"/>
              </w:rPr>
              <w:t>needs to be clearly labelled as such</w:t>
            </w:r>
          </w:p>
          <w:p w14:paraId="032E0B7C" w14:textId="77777777" w:rsidR="0079616B" w:rsidRPr="00767A82" w:rsidRDefault="008F164B" w:rsidP="0079616B">
            <w:pPr>
              <w:pStyle w:val="ListParagraph"/>
              <w:widowControl w:val="0"/>
              <w:numPr>
                <w:ilvl w:val="0"/>
                <w:numId w:val="6"/>
              </w:numPr>
              <w:spacing w:after="0" w:line="240" w:lineRule="auto"/>
              <w:rPr>
                <w:rFonts w:eastAsia="Times New Roman" w:cs="Aparajita"/>
                <w:snapToGrid w:val="0"/>
              </w:rPr>
            </w:pPr>
            <w:r w:rsidRPr="00A3399C">
              <w:rPr>
                <w:rFonts w:eastAsia="Times New Roman" w:cs="Aparajita"/>
                <w:snapToGrid w:val="0"/>
              </w:rPr>
              <w:t xml:space="preserve">A </w:t>
            </w:r>
            <w:r w:rsidRPr="00A3399C">
              <w:rPr>
                <w:rFonts w:eastAsia="Times New Roman" w:cs="Aparajita"/>
                <w:b/>
                <w:snapToGrid w:val="0"/>
              </w:rPr>
              <w:t>DESIGNATED AREA</w:t>
            </w:r>
            <w:r w:rsidRPr="00A3399C">
              <w:rPr>
                <w:rFonts w:eastAsia="Times New Roman" w:cs="Aparajita"/>
                <w:snapToGrid w:val="0"/>
              </w:rPr>
              <w:t xml:space="preserve"> </w:t>
            </w:r>
            <w:r>
              <w:rPr>
                <w:rFonts w:eastAsia="Times New Roman" w:cs="Aparajita"/>
                <w:snapToGrid w:val="0"/>
              </w:rPr>
              <w:t xml:space="preserve">(next to the window-side sink in R413) </w:t>
            </w:r>
            <w:r w:rsidRPr="00A3399C">
              <w:rPr>
                <w:rFonts w:eastAsia="Times New Roman" w:cs="Aparajita"/>
                <w:snapToGrid w:val="0"/>
              </w:rPr>
              <w:t>must be established</w:t>
            </w:r>
            <w:r>
              <w:rPr>
                <w:rFonts w:eastAsia="Times New Roman" w:cs="Aparajita"/>
                <w:snapToGrid w:val="0"/>
              </w:rPr>
              <w:t xml:space="preserve"> where</w:t>
            </w:r>
            <w:r w:rsidRPr="00A3399C">
              <w:rPr>
                <w:rFonts w:eastAsia="Times New Roman" w:cs="Aparajita"/>
                <w:snapToGrid w:val="0"/>
              </w:rPr>
              <w:t xml:space="preserve"> </w:t>
            </w:r>
            <w:r>
              <w:rPr>
                <w:rFonts w:eastAsia="Times New Roman" w:cs="Aparajita"/>
                <w:snapToGrid w:val="0"/>
              </w:rPr>
              <w:t>KOH/</w:t>
            </w:r>
            <w:proofErr w:type="spellStart"/>
            <w:r w:rsidRPr="00C364C3">
              <w:rPr>
                <w:rFonts w:eastAsia="Times New Roman" w:cs="Aparajita"/>
                <w:i/>
                <w:snapToGrid w:val="0"/>
                <w:vertAlign w:val="superscript"/>
              </w:rPr>
              <w:t>i</w:t>
            </w:r>
            <w:r>
              <w:rPr>
                <w:rFonts w:eastAsia="Times New Roman" w:cs="Aparajita"/>
                <w:snapToGrid w:val="0"/>
              </w:rPr>
              <w:t>PrOH</w:t>
            </w:r>
            <w:proofErr w:type="spellEnd"/>
            <w:r w:rsidRPr="005B6A1C">
              <w:rPr>
                <w:rFonts w:eastAsia="Times New Roman" w:cs="Aparajita"/>
                <w:snapToGrid w:val="0"/>
              </w:rPr>
              <w:t xml:space="preserve"> </w:t>
            </w:r>
            <w:r>
              <w:rPr>
                <w:rFonts w:eastAsia="Times New Roman" w:cs="Aparajita"/>
                <w:snapToGrid w:val="0"/>
              </w:rPr>
              <w:t xml:space="preserve">work can </w:t>
            </w:r>
            <w:r w:rsidRPr="005B6A1C">
              <w:rPr>
                <w:rFonts w:eastAsia="Times New Roman" w:cs="Aparajita"/>
                <w:snapToGrid w:val="0"/>
              </w:rPr>
              <w:t>tak</w:t>
            </w:r>
            <w:r>
              <w:rPr>
                <w:rFonts w:eastAsia="Times New Roman" w:cs="Aparajita"/>
                <w:snapToGrid w:val="0"/>
              </w:rPr>
              <w:t>e</w:t>
            </w:r>
            <w:r w:rsidRPr="005B6A1C">
              <w:rPr>
                <w:rFonts w:eastAsia="Times New Roman" w:cs="Aparajita"/>
                <w:snapToGrid w:val="0"/>
              </w:rPr>
              <w:t xml:space="preserve"> place</w:t>
            </w:r>
            <w:r w:rsidRPr="00A3399C">
              <w:rPr>
                <w:rFonts w:eastAsia="Times New Roman" w:cs="Aparajita"/>
                <w:snapToGrid w:val="0"/>
              </w:rPr>
              <w:t xml:space="preserve">. </w:t>
            </w:r>
          </w:p>
          <w:p w14:paraId="187B4DD2" w14:textId="77777777" w:rsidR="004A0961" w:rsidRPr="0079616B" w:rsidRDefault="0079616B" w:rsidP="008F164B">
            <w:pPr>
              <w:pStyle w:val="ListParagraph"/>
              <w:widowControl w:val="0"/>
              <w:numPr>
                <w:ilvl w:val="0"/>
                <w:numId w:val="6"/>
              </w:numPr>
              <w:spacing w:before="80" w:after="80" w:line="240" w:lineRule="auto"/>
              <w:rPr>
                <w:rFonts w:cs="Tahoma"/>
                <w:color w:val="000000"/>
                <w:shd w:val="clear" w:color="auto" w:fill="FFFFFF"/>
              </w:rPr>
            </w:pPr>
            <w:r w:rsidRPr="00E643B0">
              <w:rPr>
                <w:rFonts w:cs="Tahoma"/>
                <w:color w:val="000000"/>
                <w:shd w:val="clear" w:color="auto" w:fill="FFFFFF"/>
              </w:rPr>
              <w:t xml:space="preserve">An eyewash and safety shower must be in the immediate work area where </w:t>
            </w:r>
            <w:r w:rsidR="008F164B">
              <w:rPr>
                <w:rFonts w:cs="Tahoma"/>
                <w:color w:val="000000"/>
                <w:shd w:val="clear" w:color="auto" w:fill="FFFFFF"/>
              </w:rPr>
              <w:t>the base bath</w:t>
            </w:r>
            <w:r w:rsidRPr="00E643B0">
              <w:rPr>
                <w:rFonts w:cs="Tahoma"/>
                <w:color w:val="000000"/>
                <w:shd w:val="clear" w:color="auto" w:fill="FFFFFF"/>
              </w:rPr>
              <w:t xml:space="preserve"> is used</w:t>
            </w:r>
          </w:p>
        </w:tc>
      </w:tr>
      <w:tr w:rsidR="008F164B" w:rsidRPr="00C85102" w14:paraId="74651A8B" w14:textId="77777777" w:rsidTr="008F164B">
        <w:trPr>
          <w:trHeight w:val="432"/>
          <w:jc w:val="center"/>
        </w:trPr>
        <w:tc>
          <w:tcPr>
            <w:tcW w:w="10800" w:type="dxa"/>
            <w:gridSpan w:val="4"/>
            <w:shd w:val="clear" w:color="auto" w:fill="000E2F"/>
            <w:vAlign w:val="center"/>
          </w:tcPr>
          <w:p w14:paraId="3C8278E7" w14:textId="278E1D53" w:rsidR="00842745" w:rsidRPr="00174A02" w:rsidRDefault="00C364C3" w:rsidP="00C76674">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3 – </w:t>
            </w:r>
            <w:r w:rsidR="00174A02" w:rsidRPr="00174A02">
              <w:rPr>
                <w:rFonts w:asciiTheme="minorHAnsi" w:hAnsiTheme="minorHAnsi"/>
                <w:b/>
                <w:color w:val="FFFFFF" w:themeColor="background1"/>
                <w:sz w:val="24"/>
                <w:szCs w:val="24"/>
              </w:rPr>
              <w:t>ENGINEERING CONTROLS</w:t>
            </w:r>
          </w:p>
        </w:tc>
      </w:tr>
      <w:tr w:rsidR="008F164B" w:rsidRPr="00362737" w14:paraId="004EF755" w14:textId="77777777" w:rsidTr="00A5651A">
        <w:trPr>
          <w:trHeight w:val="652"/>
          <w:jc w:val="center"/>
        </w:trPr>
        <w:tc>
          <w:tcPr>
            <w:tcW w:w="10800" w:type="dxa"/>
            <w:gridSpan w:val="4"/>
            <w:shd w:val="clear" w:color="auto" w:fill="FFFFFF" w:themeFill="background1"/>
            <w:vAlign w:val="center"/>
          </w:tcPr>
          <w:p w14:paraId="049B988C" w14:textId="1CD1DC0C" w:rsidR="00395B54" w:rsidRDefault="00395B54" w:rsidP="00A5651A">
            <w:pPr>
              <w:pStyle w:val="ListParagraph"/>
              <w:numPr>
                <w:ilvl w:val="0"/>
                <w:numId w:val="8"/>
              </w:numPr>
              <w:spacing w:before="60" w:after="60"/>
            </w:pPr>
            <w:r w:rsidRPr="00395B54">
              <w:t>All work with the base bath must be conducted at the sink at the window side of R413.</w:t>
            </w:r>
          </w:p>
          <w:p w14:paraId="6929B699" w14:textId="06581944" w:rsidR="004A0961" w:rsidRPr="00362737" w:rsidRDefault="00395B54" w:rsidP="00A5651A">
            <w:pPr>
              <w:pStyle w:val="ListParagraph"/>
              <w:numPr>
                <w:ilvl w:val="0"/>
                <w:numId w:val="8"/>
              </w:numPr>
              <w:spacing w:before="60" w:after="60"/>
            </w:pPr>
            <w:r w:rsidRPr="00395B54">
              <w:t>A secondary metal containment is required for the plastic base bath to sit in</w:t>
            </w:r>
          </w:p>
        </w:tc>
      </w:tr>
      <w:tr w:rsidR="008F164B" w:rsidRPr="00C85102" w14:paraId="0E78468B" w14:textId="77777777" w:rsidTr="008F164B">
        <w:trPr>
          <w:trHeight w:val="432"/>
          <w:jc w:val="center"/>
        </w:trPr>
        <w:tc>
          <w:tcPr>
            <w:tcW w:w="10800" w:type="dxa"/>
            <w:gridSpan w:val="4"/>
            <w:shd w:val="clear" w:color="auto" w:fill="000E2F"/>
            <w:vAlign w:val="center"/>
          </w:tcPr>
          <w:p w14:paraId="707332FF"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8F164B" w:rsidRPr="00362737" w14:paraId="1FDD1BBB" w14:textId="77777777" w:rsidTr="008F164B">
        <w:trPr>
          <w:trHeight w:val="432"/>
          <w:jc w:val="center"/>
        </w:trPr>
        <w:tc>
          <w:tcPr>
            <w:tcW w:w="10800" w:type="dxa"/>
            <w:gridSpan w:val="4"/>
            <w:shd w:val="clear" w:color="auto" w:fill="FFFFFF" w:themeFill="background1"/>
            <w:vAlign w:val="center"/>
          </w:tcPr>
          <w:p w14:paraId="3737058F" w14:textId="77777777" w:rsidR="0079616B" w:rsidRPr="00302560" w:rsidRDefault="00D6154B"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D6154B">
              <w:rPr>
                <w:rFonts w:asciiTheme="minorHAnsi" w:eastAsia="Times New Roman" w:hAnsiTheme="minorHAnsi" w:cs="Aparajita"/>
                <w:snapToGrid w:val="0"/>
                <w:color w:val="auto"/>
                <w:sz w:val="22"/>
                <w:szCs w:val="22"/>
              </w:rPr>
              <w:t>All containers of KOH/</w:t>
            </w:r>
            <w:proofErr w:type="spellStart"/>
            <w:r w:rsidRPr="00C364C3">
              <w:rPr>
                <w:rFonts w:asciiTheme="minorHAnsi" w:eastAsia="Times New Roman" w:hAnsiTheme="minorHAnsi" w:cs="Aparajita"/>
                <w:i/>
                <w:snapToGrid w:val="0"/>
                <w:color w:val="auto"/>
                <w:sz w:val="22"/>
                <w:szCs w:val="22"/>
                <w:vertAlign w:val="superscript"/>
              </w:rPr>
              <w:t>i</w:t>
            </w:r>
            <w:r w:rsidRPr="00D6154B">
              <w:rPr>
                <w:rFonts w:asciiTheme="minorHAnsi" w:eastAsia="Times New Roman" w:hAnsiTheme="minorHAnsi" w:cs="Aparajita"/>
                <w:snapToGrid w:val="0"/>
                <w:color w:val="auto"/>
                <w:sz w:val="22"/>
                <w:szCs w:val="22"/>
              </w:rPr>
              <w:t>PrOH</w:t>
            </w:r>
            <w:proofErr w:type="spellEnd"/>
            <w:r w:rsidRPr="00D6154B">
              <w:rPr>
                <w:rFonts w:asciiTheme="minorHAnsi" w:eastAsia="Times New Roman" w:hAnsiTheme="minorHAnsi" w:cs="Aparajita"/>
                <w:snapToGrid w:val="0"/>
                <w:color w:val="auto"/>
                <w:sz w:val="22"/>
                <w:szCs w:val="22"/>
              </w:rPr>
              <w:t xml:space="preserve"> must be clearly labeled with the chemical name and hazard classes and kept tightly-sealed.</w:t>
            </w:r>
          </w:p>
          <w:p w14:paraId="54DD083A" w14:textId="77777777" w:rsidR="00903E9C" w:rsidRPr="00903E9C" w:rsidRDefault="00903E9C" w:rsidP="00903E9C">
            <w:pPr>
              <w:pStyle w:val="Heading1"/>
              <w:widowControl w:val="0"/>
              <w:numPr>
                <w:ilvl w:val="0"/>
                <w:numId w:val="9"/>
              </w:numPr>
              <w:spacing w:before="120" w:after="120"/>
              <w:contextualSpacing/>
              <w:rPr>
                <w:rFonts w:asciiTheme="minorHAnsi" w:eastAsia="Times New Roman" w:hAnsiTheme="minorHAnsi" w:cs="Aparajita"/>
                <w:snapToGrid w:val="0"/>
                <w:color w:val="auto"/>
                <w:sz w:val="22"/>
                <w:szCs w:val="22"/>
              </w:rPr>
            </w:pPr>
            <w:r w:rsidRPr="00903E9C">
              <w:rPr>
                <w:rFonts w:asciiTheme="minorHAnsi" w:eastAsia="Times New Roman" w:hAnsiTheme="minorHAnsi" w:cs="Aparajita"/>
                <w:snapToGrid w:val="0"/>
                <w:color w:val="auto"/>
                <w:sz w:val="22"/>
                <w:szCs w:val="22"/>
              </w:rPr>
              <w:lastRenderedPageBreak/>
              <w:t>All soiled glassware should be prewashed with appropriate solvents to get the</w:t>
            </w:r>
            <w:r>
              <w:rPr>
                <w:rFonts w:asciiTheme="minorHAnsi" w:eastAsia="Times New Roman" w:hAnsiTheme="minorHAnsi" w:cs="Aparajita"/>
                <w:snapToGrid w:val="0"/>
                <w:color w:val="auto"/>
                <w:sz w:val="22"/>
                <w:szCs w:val="22"/>
              </w:rPr>
              <w:t xml:space="preserve"> </w:t>
            </w:r>
            <w:r w:rsidRPr="00903E9C">
              <w:rPr>
                <w:rFonts w:asciiTheme="minorHAnsi" w:eastAsia="Times New Roman" w:hAnsiTheme="minorHAnsi" w:cs="Aparajita"/>
                <w:snapToGrid w:val="0"/>
                <w:color w:val="auto"/>
                <w:sz w:val="22"/>
                <w:szCs w:val="22"/>
              </w:rPr>
              <w:t>glassware as clean as possible</w:t>
            </w:r>
            <w:r>
              <w:rPr>
                <w:rFonts w:asciiTheme="minorHAnsi" w:eastAsia="Times New Roman" w:hAnsiTheme="minorHAnsi" w:cs="Aparajita"/>
                <w:snapToGrid w:val="0"/>
                <w:color w:val="auto"/>
                <w:sz w:val="22"/>
                <w:szCs w:val="22"/>
              </w:rPr>
              <w:t xml:space="preserve"> before it gets into the base bath</w:t>
            </w:r>
          </w:p>
          <w:p w14:paraId="3E918BA3" w14:textId="77777777" w:rsidR="00D6154B" w:rsidRPr="00D6154B" w:rsidRDefault="00903E9C" w:rsidP="00903E9C">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903E9C">
              <w:rPr>
                <w:rFonts w:asciiTheme="minorHAnsi" w:eastAsia="Times New Roman" w:hAnsiTheme="minorHAnsi" w:cs="Aparajita"/>
                <w:snapToGrid w:val="0"/>
                <w:color w:val="auto"/>
                <w:sz w:val="22"/>
                <w:szCs w:val="22"/>
              </w:rPr>
              <w:t xml:space="preserve"> </w:t>
            </w:r>
            <w:r w:rsidR="00D6154B">
              <w:rPr>
                <w:rFonts w:asciiTheme="minorHAnsi" w:eastAsia="Times New Roman" w:hAnsiTheme="minorHAnsi" w:cs="Aparajita"/>
                <w:snapToGrid w:val="0"/>
                <w:color w:val="auto"/>
                <w:sz w:val="22"/>
                <w:szCs w:val="22"/>
              </w:rPr>
              <w:t>Drown glassware completely in the base bath; make sure it does not splash in the process</w:t>
            </w:r>
          </w:p>
          <w:p w14:paraId="70A6BBA3" w14:textId="77777777" w:rsidR="00D6154B" w:rsidRDefault="00D6154B"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Do not leave glassware in the base bath for weeks</w:t>
            </w:r>
            <w:r w:rsidR="00903E9C">
              <w:rPr>
                <w:rFonts w:asciiTheme="minorHAnsi" w:eastAsia="Times New Roman" w:hAnsiTheme="minorHAnsi" w:cs="Aparajita"/>
                <w:snapToGrid w:val="0"/>
                <w:color w:val="auto"/>
                <w:sz w:val="22"/>
                <w:szCs w:val="22"/>
              </w:rPr>
              <w:t>, days is enough</w:t>
            </w:r>
            <w:r>
              <w:rPr>
                <w:rFonts w:asciiTheme="minorHAnsi" w:eastAsia="Times New Roman" w:hAnsiTheme="minorHAnsi" w:cs="Aparajita"/>
                <w:snapToGrid w:val="0"/>
                <w:color w:val="auto"/>
                <w:sz w:val="22"/>
                <w:szCs w:val="22"/>
              </w:rPr>
              <w:t xml:space="preserve"> – glass slowly dissolves in the bath, getting blind and rough; glass frits dissolve quickly, they should not go in at all.</w:t>
            </w:r>
          </w:p>
          <w:p w14:paraId="47794ABC" w14:textId="77777777" w:rsidR="00D6154B" w:rsidRDefault="00D6154B"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Avoid splashing round in the base bath by moving glass ware carefully or lifting the inner sieve out slowly.</w:t>
            </w:r>
          </w:p>
          <w:p w14:paraId="1334E524" w14:textId="77777777" w:rsidR="00D6154B" w:rsidRDefault="00D6154B"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To retrieve glass ware, use long tongs.</w:t>
            </w:r>
          </w:p>
          <w:p w14:paraId="6F475D8F" w14:textId="77777777" w:rsidR="000570F1" w:rsidRPr="0079616B" w:rsidRDefault="00D6154B"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Once you take items out of the base bath, rinse immediately with copious amounts of water.</w:t>
            </w:r>
          </w:p>
        </w:tc>
      </w:tr>
      <w:tr w:rsidR="008F164B" w:rsidRPr="00C85102" w14:paraId="6CAD2161" w14:textId="77777777" w:rsidTr="008F164B">
        <w:trPr>
          <w:trHeight w:val="432"/>
          <w:jc w:val="center"/>
        </w:trPr>
        <w:tc>
          <w:tcPr>
            <w:tcW w:w="10800" w:type="dxa"/>
            <w:gridSpan w:val="4"/>
            <w:shd w:val="clear" w:color="auto" w:fill="000E2F"/>
            <w:vAlign w:val="center"/>
          </w:tcPr>
          <w:p w14:paraId="007D9441"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5 – PERSONAL PROTECTIVE EQUIPMENT (PPE)</w:t>
            </w:r>
          </w:p>
        </w:tc>
      </w:tr>
      <w:tr w:rsidR="008F164B" w:rsidRPr="00362737" w14:paraId="7DE3E50F" w14:textId="77777777" w:rsidTr="008F164B">
        <w:trPr>
          <w:trHeight w:val="432"/>
          <w:jc w:val="center"/>
        </w:trPr>
        <w:tc>
          <w:tcPr>
            <w:tcW w:w="10800" w:type="dxa"/>
            <w:gridSpan w:val="4"/>
            <w:shd w:val="clear" w:color="auto" w:fill="FFFFFF" w:themeFill="background1"/>
            <w:vAlign w:val="center"/>
          </w:tcPr>
          <w:p w14:paraId="48E6870A" w14:textId="4710ED61" w:rsidR="0079616B" w:rsidRPr="00526530" w:rsidRDefault="0079616B" w:rsidP="0079616B">
            <w:pPr>
              <w:pStyle w:val="ListParagraph"/>
              <w:widowControl w:val="0"/>
              <w:numPr>
                <w:ilvl w:val="0"/>
                <w:numId w:val="10"/>
              </w:numPr>
              <w:spacing w:before="80" w:after="80" w:line="240" w:lineRule="auto"/>
              <w:rPr>
                <w:rFonts w:eastAsia="Times New Roman" w:cs="Aparajita"/>
                <w:snapToGrid w:val="0"/>
              </w:rPr>
            </w:pPr>
            <w:r w:rsidRPr="00526530">
              <w:rPr>
                <w:rFonts w:eastAsia="Times New Roman" w:cs="Aparajita"/>
                <w:snapToGrid w:val="0"/>
              </w:rPr>
              <w:t xml:space="preserve">At a minimum, </w:t>
            </w:r>
            <w:r>
              <w:rPr>
                <w:rFonts w:eastAsia="Times New Roman" w:cs="Aparajita"/>
                <w:snapToGrid w:val="0"/>
              </w:rPr>
              <w:t>a lab coat, l</w:t>
            </w:r>
            <w:r w:rsidRPr="00526530">
              <w:rPr>
                <w:rFonts w:eastAsia="Times New Roman" w:cs="Aparajita"/>
                <w:snapToGrid w:val="0"/>
              </w:rPr>
              <w:t>ong pants</w:t>
            </w:r>
            <w:r>
              <w:rPr>
                <w:rFonts w:eastAsia="Times New Roman" w:cs="Aparajita"/>
                <w:snapToGrid w:val="0"/>
              </w:rPr>
              <w:t xml:space="preserve"> </w:t>
            </w:r>
            <w:r w:rsidRPr="00526530">
              <w:rPr>
                <w:rFonts w:eastAsia="Times New Roman" w:cs="Aparajita"/>
                <w:snapToGrid w:val="0"/>
              </w:rPr>
              <w:t>as well as</w:t>
            </w:r>
            <w:r>
              <w:rPr>
                <w:rFonts w:eastAsia="Times New Roman" w:cs="Aparajita"/>
                <w:snapToGrid w:val="0"/>
              </w:rPr>
              <w:t xml:space="preserve"> </w:t>
            </w:r>
            <w:r w:rsidRPr="00526530">
              <w:rPr>
                <w:rFonts w:eastAsia="Times New Roman" w:cs="Aparajita"/>
                <w:snapToGrid w:val="0"/>
              </w:rPr>
              <w:t>closed-toed footwear</w:t>
            </w:r>
            <w:r>
              <w:rPr>
                <w:rFonts w:eastAsia="Times New Roman" w:cs="Aparajita"/>
                <w:snapToGrid w:val="0"/>
              </w:rPr>
              <w:t xml:space="preserve"> and </w:t>
            </w:r>
            <w:r w:rsidRPr="00526530">
              <w:rPr>
                <w:rFonts w:eastAsia="Times New Roman" w:cs="Aparajita"/>
                <w:snapToGrid w:val="0"/>
              </w:rPr>
              <w:t>chemical safety glasses that meet ANSI</w:t>
            </w:r>
            <w:r w:rsidR="00A5651A">
              <w:rPr>
                <w:rFonts w:eastAsia="Times New Roman" w:cs="Aparajita"/>
                <w:snapToGrid w:val="0"/>
              </w:rPr>
              <w:t xml:space="preserve"> </w:t>
            </w:r>
            <w:r w:rsidRPr="00526530">
              <w:rPr>
                <w:rFonts w:eastAsia="Times New Roman" w:cs="Aparajita"/>
                <w:snapToGrid w:val="0"/>
              </w:rPr>
              <w:t xml:space="preserve">standard Z-87.1 must be worn </w:t>
            </w:r>
            <w:r>
              <w:rPr>
                <w:rFonts w:eastAsia="Times New Roman" w:cs="Aparajita"/>
                <w:snapToGrid w:val="0"/>
              </w:rPr>
              <w:t xml:space="preserve">when handling </w:t>
            </w:r>
            <w:r w:rsidR="00C05B56">
              <w:rPr>
                <w:rFonts w:eastAsia="Times New Roman" w:cs="Aparajita"/>
                <w:snapToGrid w:val="0"/>
              </w:rPr>
              <w:t>the base bath and/or retrieving materials from the base bath.</w:t>
            </w:r>
          </w:p>
          <w:p w14:paraId="4ED7794D" w14:textId="77777777" w:rsidR="0079616B" w:rsidRDefault="00D6154B" w:rsidP="0079616B">
            <w:pPr>
              <w:pStyle w:val="ListParagraph"/>
              <w:widowControl w:val="0"/>
              <w:numPr>
                <w:ilvl w:val="0"/>
                <w:numId w:val="10"/>
              </w:numPr>
              <w:spacing w:before="80" w:after="80" w:line="240" w:lineRule="auto"/>
              <w:rPr>
                <w:rFonts w:eastAsia="Times New Roman" w:cs="Aparajita"/>
                <w:snapToGrid w:val="0"/>
              </w:rPr>
            </w:pPr>
            <w:r>
              <w:rPr>
                <w:rFonts w:eastAsia="Times New Roman" w:cs="Aparajita"/>
                <w:snapToGrid w:val="0"/>
              </w:rPr>
              <w:t>Well-fitted c</w:t>
            </w:r>
            <w:r w:rsidR="0079616B">
              <w:rPr>
                <w:rFonts w:eastAsia="Times New Roman" w:cs="Aparajita"/>
                <w:snapToGrid w:val="0"/>
              </w:rPr>
              <w:t>hemical splash goggles are</w:t>
            </w:r>
            <w:r w:rsidR="0079616B" w:rsidRPr="00526530">
              <w:rPr>
                <w:rFonts w:eastAsia="Times New Roman" w:cs="Aparajita"/>
                <w:snapToGrid w:val="0"/>
              </w:rPr>
              <w:t xml:space="preserve"> </w:t>
            </w:r>
            <w:r>
              <w:rPr>
                <w:rFonts w:eastAsia="Times New Roman" w:cs="Aparajita"/>
                <w:snapToGrid w:val="0"/>
              </w:rPr>
              <w:t>recommended when working with the base bath.</w:t>
            </w:r>
          </w:p>
          <w:p w14:paraId="3B5563AD" w14:textId="77777777" w:rsidR="00D6154B" w:rsidRPr="00D6154B" w:rsidRDefault="00D6154B" w:rsidP="0079616B">
            <w:pPr>
              <w:pStyle w:val="ListParagraph"/>
              <w:widowControl w:val="0"/>
              <w:numPr>
                <w:ilvl w:val="0"/>
                <w:numId w:val="10"/>
              </w:numPr>
              <w:spacing w:before="80" w:after="80" w:line="240" w:lineRule="auto"/>
              <w:rPr>
                <w:rFonts w:eastAsia="Times New Roman" w:cs="Aparajita"/>
                <w:snapToGrid w:val="0"/>
              </w:rPr>
            </w:pPr>
            <w:r>
              <w:rPr>
                <w:rFonts w:eastAsia="Times New Roman" w:cs="Aparajita"/>
                <w:snapToGrid w:val="0"/>
              </w:rPr>
              <w:t>The use of a rubber apron is recommended when working with the base bath.</w:t>
            </w:r>
          </w:p>
          <w:p w14:paraId="55DDC27B" w14:textId="77777777" w:rsidR="004A0961" w:rsidRDefault="0079616B" w:rsidP="00C05B56">
            <w:pPr>
              <w:pStyle w:val="ListParagraph"/>
              <w:widowControl w:val="0"/>
              <w:numPr>
                <w:ilvl w:val="0"/>
                <w:numId w:val="10"/>
              </w:numPr>
              <w:spacing w:before="80" w:after="80" w:line="240" w:lineRule="auto"/>
              <w:rPr>
                <w:rFonts w:eastAsia="Times New Roman" w:cs="Aparajita"/>
                <w:snapToGrid w:val="0"/>
              </w:rPr>
            </w:pPr>
            <w:r w:rsidRPr="00526530">
              <w:rPr>
                <w:rFonts w:eastAsia="Times New Roman" w:cs="Aparajita"/>
                <w:snapToGrid w:val="0"/>
              </w:rPr>
              <w:t>Nitrile Gloves</w:t>
            </w:r>
            <w:r>
              <w:rPr>
                <w:rFonts w:eastAsia="Times New Roman" w:cs="Aparajita"/>
                <w:snapToGrid w:val="0"/>
              </w:rPr>
              <w:t xml:space="preserve"> </w:t>
            </w:r>
            <w:r w:rsidRPr="00526530">
              <w:rPr>
                <w:rFonts w:eastAsia="Times New Roman" w:cs="Aparajita"/>
                <w:snapToGrid w:val="0"/>
              </w:rPr>
              <w:t xml:space="preserve">must be worn while handling </w:t>
            </w:r>
            <w:r w:rsidR="00C05B56">
              <w:rPr>
                <w:rFonts w:eastAsia="Times New Roman" w:cs="Aparajita"/>
                <w:snapToGrid w:val="0"/>
              </w:rPr>
              <w:t>a single item from the</w:t>
            </w:r>
            <w:r w:rsidR="00D6154B">
              <w:rPr>
                <w:rFonts w:eastAsia="Times New Roman" w:cs="Aparajita"/>
                <w:snapToGrid w:val="0"/>
              </w:rPr>
              <w:t xml:space="preserve"> base bath</w:t>
            </w:r>
            <w:r w:rsidR="00C05B56">
              <w:rPr>
                <w:rFonts w:eastAsia="Times New Roman" w:cs="Aparajita"/>
                <w:snapToGrid w:val="0"/>
              </w:rPr>
              <w:t xml:space="preserve">; </w:t>
            </w:r>
            <w:r w:rsidR="00C05B56" w:rsidRPr="00C05B56">
              <w:rPr>
                <w:rFonts w:eastAsia="Times New Roman" w:cs="Aparajita"/>
                <w:snapToGrid w:val="0"/>
              </w:rPr>
              <w:t>latex</w:t>
            </w:r>
            <w:r w:rsidR="00C05B56">
              <w:rPr>
                <w:rFonts w:eastAsia="Times New Roman" w:cs="Aparajita"/>
                <w:snapToGrid w:val="0"/>
              </w:rPr>
              <w:t xml:space="preserve"> </w:t>
            </w:r>
            <w:r w:rsidR="00C05B56" w:rsidRPr="00C05B56">
              <w:rPr>
                <w:rFonts w:eastAsia="Times New Roman" w:cs="Aparajita"/>
                <w:snapToGrid w:val="0"/>
              </w:rPr>
              <w:t>gloves will not provide adequate protection to the hands</w:t>
            </w:r>
            <w:r w:rsidR="00C05B56">
              <w:rPr>
                <w:rFonts w:eastAsia="Times New Roman" w:cs="Aparajita"/>
                <w:snapToGrid w:val="0"/>
              </w:rPr>
              <w:t>.</w:t>
            </w:r>
          </w:p>
          <w:p w14:paraId="377AD255" w14:textId="77777777" w:rsidR="00C05B56" w:rsidRPr="00C05B56" w:rsidRDefault="00C05B56" w:rsidP="00C05B56">
            <w:pPr>
              <w:pStyle w:val="ListParagraph"/>
              <w:widowControl w:val="0"/>
              <w:numPr>
                <w:ilvl w:val="0"/>
                <w:numId w:val="10"/>
              </w:numPr>
              <w:spacing w:before="80" w:after="80"/>
              <w:rPr>
                <w:rFonts w:eastAsia="Times New Roman" w:cs="Aparajita"/>
                <w:snapToGrid w:val="0"/>
              </w:rPr>
            </w:pPr>
            <w:r>
              <w:rPr>
                <w:rFonts w:eastAsia="Times New Roman" w:cs="Aparajita"/>
                <w:snapToGrid w:val="0"/>
              </w:rPr>
              <w:t>N</w:t>
            </w:r>
            <w:r w:rsidRPr="00C05B56">
              <w:rPr>
                <w:rFonts w:eastAsia="Times New Roman" w:cs="Aparajita"/>
                <w:snapToGrid w:val="0"/>
              </w:rPr>
              <w:t>eoprene gloves with long cuffs (“opera gloves”) must be worn</w:t>
            </w:r>
            <w:r>
              <w:rPr>
                <w:rFonts w:eastAsia="Times New Roman" w:cs="Aparajita"/>
                <w:snapToGrid w:val="0"/>
              </w:rPr>
              <w:t xml:space="preserve"> when preparing the base bath, retrieving larger number or larger items from the base bath.</w:t>
            </w:r>
          </w:p>
        </w:tc>
      </w:tr>
      <w:tr w:rsidR="008F164B" w:rsidRPr="00C85102" w14:paraId="27E3D301" w14:textId="77777777" w:rsidTr="008F164B">
        <w:trPr>
          <w:trHeight w:val="432"/>
          <w:jc w:val="center"/>
        </w:trPr>
        <w:tc>
          <w:tcPr>
            <w:tcW w:w="10800" w:type="dxa"/>
            <w:gridSpan w:val="4"/>
            <w:shd w:val="clear" w:color="auto" w:fill="000E2F"/>
            <w:vAlign w:val="center"/>
          </w:tcPr>
          <w:p w14:paraId="2AD77D04"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8F164B" w:rsidRPr="00362737" w14:paraId="4A399851" w14:textId="77777777" w:rsidTr="008F164B">
        <w:trPr>
          <w:trHeight w:val="432"/>
          <w:jc w:val="center"/>
        </w:trPr>
        <w:tc>
          <w:tcPr>
            <w:tcW w:w="10800" w:type="dxa"/>
            <w:gridSpan w:val="4"/>
            <w:shd w:val="clear" w:color="auto" w:fill="FFFFFF" w:themeFill="background1"/>
            <w:vAlign w:val="center"/>
          </w:tcPr>
          <w:p w14:paraId="6A228AF4" w14:textId="77777777" w:rsidR="0079616B" w:rsidRPr="0079616B" w:rsidRDefault="00D6154B" w:rsidP="0079616B">
            <w:pPr>
              <w:pStyle w:val="ListParagraph"/>
              <w:numPr>
                <w:ilvl w:val="0"/>
                <w:numId w:val="11"/>
              </w:numPr>
              <w:spacing w:before="80" w:after="80" w:line="240" w:lineRule="auto"/>
            </w:pPr>
            <w:r>
              <w:rPr>
                <w:rFonts w:eastAsia="Times New Roman" w:cs="Aparajita"/>
                <w:snapToGrid w:val="0"/>
              </w:rPr>
              <w:t>The base bath is mixed up in place at the sink.</w:t>
            </w:r>
          </w:p>
        </w:tc>
      </w:tr>
      <w:tr w:rsidR="008F164B" w:rsidRPr="00C85102" w14:paraId="5FF5032C" w14:textId="77777777" w:rsidTr="008F164B">
        <w:trPr>
          <w:trHeight w:val="432"/>
          <w:jc w:val="center"/>
        </w:trPr>
        <w:tc>
          <w:tcPr>
            <w:tcW w:w="10800" w:type="dxa"/>
            <w:gridSpan w:val="4"/>
            <w:shd w:val="clear" w:color="auto" w:fill="000E2F"/>
            <w:vAlign w:val="center"/>
          </w:tcPr>
          <w:p w14:paraId="1E9547ED"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8F164B" w:rsidRPr="00362737" w14:paraId="6FDCB9D6" w14:textId="77777777" w:rsidTr="008F164B">
        <w:trPr>
          <w:trHeight w:val="432"/>
          <w:jc w:val="center"/>
        </w:trPr>
        <w:tc>
          <w:tcPr>
            <w:tcW w:w="10800" w:type="dxa"/>
            <w:gridSpan w:val="4"/>
            <w:shd w:val="clear" w:color="auto" w:fill="FFFFFF" w:themeFill="background1"/>
            <w:vAlign w:val="center"/>
          </w:tcPr>
          <w:p w14:paraId="5587920A" w14:textId="77777777" w:rsidR="0079616B" w:rsidRPr="00526530" w:rsidRDefault="00D6154B" w:rsidP="0079616B">
            <w:pPr>
              <w:pStyle w:val="ListParagraph"/>
              <w:numPr>
                <w:ilvl w:val="0"/>
                <w:numId w:val="11"/>
              </w:numPr>
              <w:shd w:val="clear" w:color="auto" w:fill="FFFFFF"/>
              <w:spacing w:before="80" w:after="80" w:line="240" w:lineRule="auto"/>
              <w:outlineLvl w:val="1"/>
              <w:rPr>
                <w:rFonts w:cs="Aparajita"/>
                <w:color w:val="000000"/>
                <w:shd w:val="clear" w:color="auto" w:fill="FFFFFF"/>
              </w:rPr>
            </w:pPr>
            <w:r>
              <w:rPr>
                <w:rFonts w:cs="Aparajita"/>
                <w:color w:val="000000"/>
                <w:shd w:val="clear" w:color="auto" w:fill="FFFFFF"/>
              </w:rPr>
              <w:t>If the base bath container fails or tips over in the lab, warn others in the lab and e</w:t>
            </w:r>
            <w:r w:rsidR="0079616B">
              <w:rPr>
                <w:rFonts w:cs="Aparajita"/>
                <w:color w:val="000000"/>
                <w:shd w:val="clear" w:color="auto" w:fill="FFFFFF"/>
              </w:rPr>
              <w:t>vacuate the laboratory immediately</w:t>
            </w:r>
          </w:p>
          <w:p w14:paraId="4CFA686B" w14:textId="77777777" w:rsidR="0079616B" w:rsidRPr="00526530" w:rsidRDefault="0079616B" w:rsidP="0079616B">
            <w:pPr>
              <w:pStyle w:val="ListParagraph"/>
              <w:numPr>
                <w:ilvl w:val="0"/>
                <w:numId w:val="11"/>
              </w:numPr>
              <w:shd w:val="clear" w:color="auto" w:fill="FFFFFF"/>
              <w:spacing w:before="80" w:after="80" w:line="240" w:lineRule="auto"/>
              <w:outlineLvl w:val="1"/>
              <w:rPr>
                <w:rFonts w:cs="Aparajita"/>
                <w:color w:val="000000"/>
                <w:shd w:val="clear" w:color="auto" w:fill="FFFFFF"/>
              </w:rPr>
            </w:pPr>
            <w:r w:rsidRPr="00526530">
              <w:rPr>
                <w:rFonts w:cs="Aparajita"/>
                <w:color w:val="000000"/>
                <w:shd w:val="clear" w:color="auto" w:fill="FFFFFF"/>
              </w:rPr>
              <w:t>Close door(s) to lab and post a “</w:t>
            </w:r>
            <w:r w:rsidRPr="00526530">
              <w:rPr>
                <w:rFonts w:cs="Aparajita"/>
                <w:b/>
                <w:color w:val="000000"/>
                <w:shd w:val="clear" w:color="auto" w:fill="FFFFFF"/>
              </w:rPr>
              <w:t>NO ENTRY</w:t>
            </w:r>
            <w:r w:rsidRPr="00526530">
              <w:rPr>
                <w:rFonts w:cs="Aparajita"/>
                <w:color w:val="000000"/>
                <w:shd w:val="clear" w:color="auto" w:fill="FFFFFF"/>
              </w:rPr>
              <w:t xml:space="preserve">” sign(s) </w:t>
            </w:r>
            <w:r>
              <w:rPr>
                <w:rFonts w:cs="Aparajita"/>
                <w:color w:val="000000"/>
                <w:shd w:val="clear" w:color="auto" w:fill="FFFFFF"/>
              </w:rPr>
              <w:t>explicitly mentioning the type of hazard</w:t>
            </w:r>
          </w:p>
          <w:p w14:paraId="3D84A218" w14:textId="77777777" w:rsidR="0079616B" w:rsidRPr="00D5698D" w:rsidRDefault="0079616B" w:rsidP="0079616B">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526530">
              <w:rPr>
                <w:rFonts w:cs="Aparajita"/>
                <w:color w:val="000000"/>
                <w:shd w:val="clear" w:color="auto" w:fill="FFFFFF"/>
              </w:rPr>
              <w:t xml:space="preserve">Activate the fire alarm and call </w:t>
            </w:r>
            <w:r w:rsidRPr="00526530">
              <w:rPr>
                <w:rFonts w:cs="Aparajita"/>
                <w:b/>
                <w:bCs/>
                <w:shd w:val="clear" w:color="auto" w:fill="FFFFFF"/>
              </w:rPr>
              <w:t>911</w:t>
            </w:r>
            <w:r>
              <w:rPr>
                <w:rFonts w:cs="Aparajita"/>
                <w:bCs/>
                <w:shd w:val="clear" w:color="auto" w:fill="FFFFFF"/>
              </w:rPr>
              <w:t xml:space="preserve"> in case of a large (</w:t>
            </w:r>
            <w:r w:rsidR="00D6154B">
              <w:rPr>
                <w:rFonts w:cs="Aparajita"/>
                <w:bCs/>
                <w:shd w:val="clear" w:color="auto" w:fill="FFFFFF"/>
              </w:rPr>
              <w:t>&gt;1000 mL</w:t>
            </w:r>
            <w:r>
              <w:rPr>
                <w:rFonts w:cs="Aparajita"/>
                <w:bCs/>
                <w:shd w:val="clear" w:color="auto" w:fill="FFFFFF"/>
              </w:rPr>
              <w:t>) spill</w:t>
            </w:r>
            <w:r w:rsidR="00D6154B">
              <w:rPr>
                <w:rFonts w:cs="Aparajita"/>
                <w:color w:val="000000"/>
                <w:shd w:val="clear" w:color="auto" w:fill="FFFFFF"/>
              </w:rPr>
              <w:t xml:space="preserve"> and explicitly mentioning the type of hazard</w:t>
            </w:r>
          </w:p>
          <w:p w14:paraId="244B48AA" w14:textId="77777777" w:rsidR="0079616B" w:rsidRPr="00D5698D" w:rsidRDefault="0079616B" w:rsidP="0079616B">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D5698D">
              <w:rPr>
                <w:rFonts w:cs="Aparajita"/>
                <w:color w:val="000000"/>
                <w:shd w:val="clear" w:color="auto" w:fill="FFFFFF"/>
              </w:rPr>
              <w:t>Do not re-enter area until instructed to do so by an emergency personnel</w:t>
            </w:r>
            <w:r w:rsidRPr="00D5698D">
              <w:rPr>
                <w:rFonts w:eastAsia="Times New Roman" w:cs="Aparajita"/>
                <w:snapToGrid w:val="0"/>
              </w:rPr>
              <w:t xml:space="preserve"> </w:t>
            </w:r>
          </w:p>
          <w:p w14:paraId="772F6258" w14:textId="77777777" w:rsidR="004A0961" w:rsidRPr="00362737" w:rsidRDefault="0079616B" w:rsidP="0079616B">
            <w:pPr>
              <w:widowControl w:val="0"/>
              <w:spacing w:before="80" w:after="80" w:line="240" w:lineRule="auto"/>
              <w:rPr>
                <w:rFonts w:eastAsia="Times New Roman" w:cs="Aparajita"/>
                <w:snapToGrid w:val="0"/>
              </w:rPr>
            </w:pPr>
            <w:r w:rsidRPr="00D5698D">
              <w:rPr>
                <w:rFonts w:eastAsia="Times New Roman" w:cs="Aparajita"/>
                <w:b/>
                <w:snapToGrid w:val="0"/>
              </w:rPr>
              <w:t xml:space="preserve">Report any incident to the PI </w:t>
            </w:r>
            <w:r w:rsidRPr="00D5698D">
              <w:rPr>
                <w:rFonts w:eastAsia="Times New Roman" w:cs="Aparajita"/>
                <w:b/>
                <w:snapToGrid w:val="0"/>
                <w:u w:val="single"/>
              </w:rPr>
              <w:t>and</w:t>
            </w:r>
            <w:r w:rsidRPr="00D5698D">
              <w:rPr>
                <w:rFonts w:eastAsia="Times New Roman" w:cs="Aparajita"/>
                <w:b/>
                <w:snapToGrid w:val="0"/>
              </w:rPr>
              <w:t xml:space="preserve"> fill out the </w:t>
            </w:r>
            <w:hyperlink r:id="rId13" w:history="1">
              <w:r w:rsidRPr="00D5698D">
                <w:rPr>
                  <w:rStyle w:val="Hyperlink"/>
                  <w:rFonts w:eastAsia="Times New Roman" w:cs="Aparajita"/>
                  <w:b/>
                  <w:snapToGrid w:val="0"/>
                </w:rPr>
                <w:t>accident form</w:t>
              </w:r>
            </w:hyperlink>
          </w:p>
        </w:tc>
      </w:tr>
      <w:tr w:rsidR="008F164B" w:rsidRPr="00C85102" w14:paraId="76527933" w14:textId="77777777" w:rsidTr="008F164B">
        <w:trPr>
          <w:trHeight w:val="432"/>
          <w:jc w:val="center"/>
        </w:trPr>
        <w:tc>
          <w:tcPr>
            <w:tcW w:w="10800" w:type="dxa"/>
            <w:gridSpan w:val="4"/>
            <w:shd w:val="clear" w:color="auto" w:fill="000E2F"/>
            <w:vAlign w:val="center"/>
          </w:tcPr>
          <w:p w14:paraId="01D227EE"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8F164B" w:rsidRPr="00362737" w14:paraId="4EEF60B1" w14:textId="77777777" w:rsidTr="008F164B">
        <w:trPr>
          <w:trHeight w:val="432"/>
          <w:jc w:val="center"/>
        </w:trPr>
        <w:tc>
          <w:tcPr>
            <w:tcW w:w="10800" w:type="dxa"/>
            <w:gridSpan w:val="4"/>
            <w:shd w:val="clear" w:color="auto" w:fill="FFFFFF" w:themeFill="background1"/>
            <w:vAlign w:val="center"/>
          </w:tcPr>
          <w:p w14:paraId="55008C05" w14:textId="77777777" w:rsidR="0079616B" w:rsidRPr="002252D8" w:rsidRDefault="0079616B" w:rsidP="0079616B">
            <w:pPr>
              <w:widowControl w:val="0"/>
              <w:spacing w:after="0" w:line="240" w:lineRule="auto"/>
              <w:rPr>
                <w:rFonts w:eastAsia="Times New Roman" w:cs="Aparajita"/>
                <w:i/>
                <w:snapToGrid w:val="0"/>
              </w:rPr>
            </w:pPr>
            <w:r w:rsidRPr="002252D8">
              <w:rPr>
                <w:rFonts w:eastAsia="Times New Roman" w:cs="Aparajita"/>
                <w:i/>
                <w:snapToGrid w:val="0"/>
              </w:rPr>
              <w:t>Eyes</w:t>
            </w:r>
          </w:p>
          <w:p w14:paraId="11087B5A" w14:textId="77777777" w:rsidR="0079616B" w:rsidRPr="000303F6" w:rsidRDefault="0079616B" w:rsidP="0079616B">
            <w:pPr>
              <w:pStyle w:val="ListParagraph"/>
              <w:widowControl w:val="0"/>
              <w:numPr>
                <w:ilvl w:val="0"/>
                <w:numId w:val="13"/>
              </w:numPr>
              <w:spacing w:after="0" w:line="240" w:lineRule="auto"/>
              <w:ind w:left="714" w:hanging="357"/>
              <w:rPr>
                <w:rFonts w:eastAsia="Times New Roman" w:cs="Aparajita"/>
                <w:snapToGrid w:val="0"/>
              </w:rPr>
            </w:pPr>
            <w:r w:rsidRPr="00FA1BC6">
              <w:rPr>
                <w:rFonts w:eastAsia="Times New Roman" w:cs="Aparajita"/>
                <w:snapToGrid w:val="0"/>
                <w:shd w:val="clear" w:color="auto" w:fill="FFFFFF"/>
              </w:rPr>
              <w:t>Immediately</w:t>
            </w:r>
            <w:r>
              <w:rPr>
                <w:rFonts w:eastAsia="Times New Roman" w:cs="Aparajita"/>
                <w:snapToGrid w:val="0"/>
                <w:shd w:val="clear" w:color="auto" w:fill="FFFFFF"/>
              </w:rPr>
              <w:t xml:space="preserve"> move to the eyewash station, hold eyelids open and flush </w:t>
            </w:r>
            <w:r>
              <w:rPr>
                <w:rFonts w:eastAsia="Times New Roman" w:cs="Aparajita"/>
                <w:snapToGrid w:val="0"/>
              </w:rPr>
              <w:t xml:space="preserve">with water. </w:t>
            </w:r>
            <w:r w:rsidRPr="000303F6">
              <w:rPr>
                <w:rFonts w:eastAsia="Times New Roman" w:cs="Aparajita"/>
                <w:snapToGrid w:val="0"/>
              </w:rPr>
              <w:t xml:space="preserve">Remove contact lenses </w:t>
            </w:r>
            <w:r>
              <w:rPr>
                <w:rFonts w:eastAsia="Times New Roman" w:cs="Aparajita"/>
                <w:snapToGrid w:val="0"/>
              </w:rPr>
              <w:t xml:space="preserve">while flushing </w:t>
            </w:r>
            <w:r w:rsidRPr="000303F6">
              <w:rPr>
                <w:rFonts w:eastAsia="Times New Roman" w:cs="Aparajita"/>
                <w:snapToGrid w:val="0"/>
              </w:rPr>
              <w:t>(if applicable)</w:t>
            </w:r>
          </w:p>
          <w:p w14:paraId="0D70F5E1" w14:textId="77777777" w:rsidR="0079616B" w:rsidRPr="000303F6" w:rsidRDefault="0079616B" w:rsidP="0079616B">
            <w:pPr>
              <w:pStyle w:val="ListParagraph"/>
              <w:widowControl w:val="0"/>
              <w:numPr>
                <w:ilvl w:val="0"/>
                <w:numId w:val="13"/>
              </w:numPr>
              <w:spacing w:after="0" w:line="240" w:lineRule="auto"/>
              <w:ind w:left="714" w:hanging="357"/>
              <w:rPr>
                <w:rFonts w:eastAsia="Times New Roman" w:cs="Aparajita"/>
                <w:snapToGrid w:val="0"/>
              </w:rPr>
            </w:pPr>
            <w:r>
              <w:rPr>
                <w:rFonts w:eastAsia="Times New Roman" w:cs="Aparajita"/>
                <w:snapToGrid w:val="0"/>
              </w:rPr>
              <w:t xml:space="preserve">Have another person from the lab dial </w:t>
            </w:r>
            <w:r w:rsidRPr="000303F6">
              <w:rPr>
                <w:rFonts w:eastAsia="Times New Roman" w:cs="Aparajita"/>
                <w:b/>
                <w:snapToGrid w:val="0"/>
              </w:rPr>
              <w:t>911</w:t>
            </w:r>
            <w:r>
              <w:rPr>
                <w:rFonts w:eastAsia="Times New Roman" w:cs="Aparajita"/>
                <w:b/>
                <w:snapToGrid w:val="0"/>
              </w:rPr>
              <w:t xml:space="preserve"> </w:t>
            </w:r>
            <w:r>
              <w:rPr>
                <w:rFonts w:eastAsia="Times New Roman" w:cs="Aparajita"/>
                <w:snapToGrid w:val="0"/>
              </w:rPr>
              <w:t xml:space="preserve">and specifically mention </w:t>
            </w:r>
            <w:r w:rsidR="00D6154B">
              <w:rPr>
                <w:rFonts w:eastAsia="Times New Roman" w:cs="Aparajita"/>
                <w:snapToGrid w:val="0"/>
              </w:rPr>
              <w:t>caustic base</w:t>
            </w:r>
            <w:r>
              <w:rPr>
                <w:rFonts w:eastAsia="Times New Roman" w:cs="Aparajita"/>
                <w:snapToGrid w:val="0"/>
              </w:rPr>
              <w:t xml:space="preserve"> exposure</w:t>
            </w:r>
          </w:p>
          <w:p w14:paraId="41956579" w14:textId="77777777" w:rsidR="0079616B" w:rsidRPr="00A529E8" w:rsidRDefault="0079616B" w:rsidP="0079616B">
            <w:pPr>
              <w:pStyle w:val="ListParagraph"/>
              <w:widowControl w:val="0"/>
              <w:numPr>
                <w:ilvl w:val="0"/>
                <w:numId w:val="13"/>
              </w:numPr>
              <w:spacing w:after="0" w:line="240" w:lineRule="auto"/>
              <w:ind w:left="714" w:hanging="357"/>
              <w:rPr>
                <w:rFonts w:eastAsia="Times New Roman" w:cs="Aparajita"/>
                <w:snapToGrid w:val="0"/>
              </w:rPr>
            </w:pPr>
            <w:r>
              <w:rPr>
                <w:rFonts w:eastAsia="Times New Roman" w:cs="Aparajita"/>
                <w:snapToGrid w:val="0"/>
              </w:rPr>
              <w:t xml:space="preserve">Continue flushing the eyes </w:t>
            </w:r>
            <w:r w:rsidRPr="00A529E8">
              <w:rPr>
                <w:rFonts w:eastAsia="Times New Roman" w:cs="Aparajita"/>
                <w:snapToGrid w:val="0"/>
              </w:rPr>
              <w:t>u</w:t>
            </w:r>
            <w:r>
              <w:rPr>
                <w:rFonts w:eastAsia="Times New Roman" w:cs="Aparajita"/>
                <w:snapToGrid w:val="0"/>
              </w:rPr>
              <w:t>ntil emergency personnel arrive</w:t>
            </w:r>
          </w:p>
          <w:p w14:paraId="1B62974B" w14:textId="77777777" w:rsidR="0079616B" w:rsidRPr="002252D8" w:rsidRDefault="0079616B" w:rsidP="0079616B">
            <w:pPr>
              <w:widowControl w:val="0"/>
              <w:spacing w:after="0" w:line="240" w:lineRule="auto"/>
              <w:rPr>
                <w:rFonts w:eastAsia="Times New Roman" w:cs="Aparajita"/>
                <w:i/>
                <w:snapToGrid w:val="0"/>
              </w:rPr>
            </w:pPr>
            <w:r w:rsidRPr="002252D8">
              <w:rPr>
                <w:rFonts w:eastAsia="Times New Roman" w:cs="Aparajita"/>
                <w:i/>
                <w:snapToGrid w:val="0"/>
              </w:rPr>
              <w:t>Skin</w:t>
            </w:r>
          </w:p>
          <w:p w14:paraId="3052E4E6" w14:textId="77777777" w:rsidR="0079616B" w:rsidRPr="00A529E8"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FA1BC6">
              <w:rPr>
                <w:rFonts w:eastAsia="Times New Roman" w:cs="Aparajita"/>
                <w:snapToGrid w:val="0"/>
                <w:shd w:val="clear" w:color="auto" w:fill="FFFFFF"/>
              </w:rPr>
              <w:t xml:space="preserve">Immediately </w:t>
            </w:r>
            <w:r>
              <w:rPr>
                <w:rFonts w:eastAsia="Times New Roman" w:cs="Aparajita"/>
                <w:snapToGrid w:val="0"/>
              </w:rPr>
              <w:t xml:space="preserve">move to safety shower or other water source and begin rinsing affected area(s). </w:t>
            </w:r>
            <w:r w:rsidRPr="00A529E8">
              <w:rPr>
                <w:rFonts w:eastAsia="Times New Roman" w:cs="Aparajita"/>
                <w:snapToGrid w:val="0"/>
              </w:rPr>
              <w:t>Remove contaminated clothing (if applicable)</w:t>
            </w:r>
            <w:r>
              <w:rPr>
                <w:rFonts w:eastAsia="Times New Roman" w:cs="Aparajita"/>
                <w:snapToGrid w:val="0"/>
              </w:rPr>
              <w:t xml:space="preserve"> while flushing</w:t>
            </w:r>
            <w:r w:rsidR="00D6154B">
              <w:rPr>
                <w:rFonts w:eastAsia="Times New Roman" w:cs="Aparajita"/>
                <w:snapToGrid w:val="0"/>
              </w:rPr>
              <w:t>.</w:t>
            </w:r>
          </w:p>
          <w:p w14:paraId="77241E6C" w14:textId="77777777" w:rsidR="0079616B" w:rsidRPr="00025B3D"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A529E8">
              <w:rPr>
                <w:rFonts w:eastAsia="Times New Roman" w:cs="Aparajita"/>
                <w:snapToGrid w:val="0"/>
              </w:rPr>
              <w:t xml:space="preserve">Have another person from the lab dial </w:t>
            </w:r>
            <w:r w:rsidRPr="00A529E8">
              <w:rPr>
                <w:rFonts w:eastAsia="Times New Roman" w:cs="Aparajita"/>
                <w:b/>
                <w:snapToGrid w:val="0"/>
              </w:rPr>
              <w:t xml:space="preserve">911 </w:t>
            </w:r>
            <w:r>
              <w:rPr>
                <w:rFonts w:eastAsia="Times New Roman" w:cs="Aparajita"/>
                <w:snapToGrid w:val="0"/>
              </w:rPr>
              <w:t xml:space="preserve">if intense skin irritation is observed </w:t>
            </w:r>
            <w:r w:rsidRPr="00A529E8">
              <w:rPr>
                <w:rFonts w:eastAsia="Times New Roman" w:cs="Aparajita"/>
                <w:snapToGrid w:val="0"/>
              </w:rPr>
              <w:t xml:space="preserve">and specifically mention </w:t>
            </w:r>
            <w:r w:rsidR="00D6154B">
              <w:rPr>
                <w:rFonts w:eastAsia="Times New Roman" w:cs="Aparajita"/>
                <w:snapToGrid w:val="0"/>
              </w:rPr>
              <w:t xml:space="preserve">caustic base </w:t>
            </w:r>
            <w:r w:rsidRPr="00A529E8">
              <w:rPr>
                <w:rFonts w:eastAsia="Times New Roman" w:cs="Aparajita"/>
                <w:snapToGrid w:val="0"/>
              </w:rPr>
              <w:t>exposure</w:t>
            </w:r>
          </w:p>
          <w:p w14:paraId="3FB01164" w14:textId="77777777" w:rsidR="0079616B" w:rsidRPr="00A529E8"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A529E8">
              <w:rPr>
                <w:rFonts w:eastAsia="Times New Roman" w:cs="Aparajita"/>
                <w:snapToGrid w:val="0"/>
              </w:rPr>
              <w:t>Keep rinsing affected area(s) u</w:t>
            </w:r>
            <w:r>
              <w:rPr>
                <w:rFonts w:eastAsia="Times New Roman" w:cs="Aparajita"/>
                <w:snapToGrid w:val="0"/>
              </w:rPr>
              <w:t>ntil emergency personnel arrive</w:t>
            </w:r>
          </w:p>
          <w:p w14:paraId="6F6F788E" w14:textId="77777777" w:rsidR="00A5651A" w:rsidRDefault="00A5651A" w:rsidP="00903E9C">
            <w:pPr>
              <w:keepNext/>
              <w:widowControl w:val="0"/>
              <w:spacing w:after="0" w:line="240" w:lineRule="auto"/>
              <w:rPr>
                <w:rFonts w:eastAsia="Times New Roman" w:cs="Aparajita"/>
                <w:i/>
                <w:snapToGrid w:val="0"/>
              </w:rPr>
            </w:pPr>
          </w:p>
          <w:p w14:paraId="2270C305" w14:textId="77777777" w:rsidR="00A5651A" w:rsidRDefault="00A5651A" w:rsidP="00903E9C">
            <w:pPr>
              <w:keepNext/>
              <w:widowControl w:val="0"/>
              <w:spacing w:after="0" w:line="240" w:lineRule="auto"/>
              <w:rPr>
                <w:rFonts w:eastAsia="Times New Roman" w:cs="Aparajita"/>
                <w:i/>
                <w:snapToGrid w:val="0"/>
              </w:rPr>
            </w:pPr>
          </w:p>
          <w:p w14:paraId="5AF64BCA" w14:textId="77777777" w:rsidR="00A5651A" w:rsidRDefault="00A5651A" w:rsidP="00903E9C">
            <w:pPr>
              <w:keepNext/>
              <w:widowControl w:val="0"/>
              <w:spacing w:after="0" w:line="240" w:lineRule="auto"/>
              <w:rPr>
                <w:rFonts w:eastAsia="Times New Roman" w:cs="Aparajita"/>
                <w:i/>
                <w:snapToGrid w:val="0"/>
              </w:rPr>
            </w:pPr>
          </w:p>
          <w:p w14:paraId="6098026B" w14:textId="77777777" w:rsidR="0079616B" w:rsidRPr="002252D8" w:rsidRDefault="0079616B" w:rsidP="00903E9C">
            <w:pPr>
              <w:keepNext/>
              <w:widowControl w:val="0"/>
              <w:spacing w:after="0" w:line="240" w:lineRule="auto"/>
              <w:rPr>
                <w:rFonts w:eastAsia="Times New Roman" w:cs="Aparajita"/>
                <w:i/>
                <w:snapToGrid w:val="0"/>
              </w:rPr>
            </w:pPr>
            <w:bookmarkStart w:id="0" w:name="_GoBack"/>
            <w:bookmarkEnd w:id="0"/>
            <w:r w:rsidRPr="002252D8">
              <w:rPr>
                <w:rFonts w:eastAsia="Times New Roman" w:cs="Aparajita"/>
                <w:i/>
                <w:snapToGrid w:val="0"/>
              </w:rPr>
              <w:lastRenderedPageBreak/>
              <w:t>Ingestion</w:t>
            </w:r>
          </w:p>
          <w:p w14:paraId="42A19B96" w14:textId="77777777" w:rsidR="0079616B" w:rsidRPr="00DA1599" w:rsidRDefault="0079616B" w:rsidP="0079616B">
            <w:pPr>
              <w:widowControl w:val="0"/>
              <w:numPr>
                <w:ilvl w:val="0"/>
                <w:numId w:val="15"/>
              </w:numPr>
              <w:spacing w:after="0" w:line="240" w:lineRule="auto"/>
              <w:ind w:left="714" w:hanging="357"/>
              <w:contextualSpacing/>
              <w:rPr>
                <w:rFonts w:eastAsia="Times New Roman" w:cs="Aparajita"/>
                <w:snapToGrid w:val="0"/>
              </w:rPr>
            </w:pPr>
            <w:r w:rsidRPr="00FA1BC6">
              <w:t xml:space="preserve">Immediately </w:t>
            </w:r>
            <w:r w:rsidRPr="00A529E8">
              <w:t>r</w:t>
            </w:r>
            <w:r>
              <w:t>inse the mouth with cold water</w:t>
            </w:r>
          </w:p>
          <w:p w14:paraId="4CDAA5BA" w14:textId="77777777" w:rsidR="0079616B" w:rsidRPr="003A595D" w:rsidRDefault="0079616B" w:rsidP="0079616B">
            <w:pPr>
              <w:widowControl w:val="0"/>
              <w:numPr>
                <w:ilvl w:val="0"/>
                <w:numId w:val="15"/>
              </w:numPr>
              <w:spacing w:after="0" w:line="240" w:lineRule="auto"/>
              <w:ind w:left="714" w:hanging="357"/>
              <w:contextualSpacing/>
              <w:rPr>
                <w:rFonts w:eastAsia="Times New Roman" w:cs="Aparajita"/>
                <w:bCs/>
                <w:snapToGrid w:val="0"/>
              </w:rPr>
            </w:pPr>
            <w:r w:rsidRPr="003A595D">
              <w:rPr>
                <w:bCs/>
              </w:rPr>
              <w:t>Do NOT induce vomiting</w:t>
            </w:r>
          </w:p>
          <w:p w14:paraId="7B14C169" w14:textId="77777777" w:rsidR="0079616B" w:rsidRPr="00A529E8" w:rsidRDefault="0079616B" w:rsidP="0079616B">
            <w:pPr>
              <w:pStyle w:val="ListParagraph"/>
              <w:widowControl w:val="0"/>
              <w:numPr>
                <w:ilvl w:val="0"/>
                <w:numId w:val="15"/>
              </w:numPr>
              <w:spacing w:after="0" w:line="240" w:lineRule="auto"/>
              <w:ind w:left="714" w:hanging="357"/>
              <w:rPr>
                <w:rFonts w:eastAsia="Times New Roman" w:cs="Aparajita"/>
                <w:snapToGrid w:val="0"/>
              </w:rPr>
            </w:pPr>
            <w:r w:rsidRPr="00A529E8">
              <w:rPr>
                <w:rFonts w:eastAsia="Times New Roman" w:cs="Aparajita"/>
                <w:snapToGrid w:val="0"/>
              </w:rPr>
              <w:t xml:space="preserve">Have another person from the lab dial </w:t>
            </w:r>
            <w:r w:rsidRPr="00A529E8">
              <w:rPr>
                <w:rFonts w:eastAsia="Times New Roman" w:cs="Aparajita"/>
                <w:b/>
                <w:snapToGrid w:val="0"/>
              </w:rPr>
              <w:t xml:space="preserve">911 </w:t>
            </w:r>
            <w:r w:rsidRPr="00A529E8">
              <w:rPr>
                <w:rFonts w:eastAsia="Times New Roman" w:cs="Aparajita"/>
                <w:snapToGrid w:val="0"/>
              </w:rPr>
              <w:t xml:space="preserve">and specifically mention </w:t>
            </w:r>
            <w:r w:rsidR="00FD7F96">
              <w:rPr>
                <w:rFonts w:eastAsia="Times New Roman" w:cs="Aparajita"/>
                <w:snapToGrid w:val="0"/>
              </w:rPr>
              <w:t xml:space="preserve">caustic base </w:t>
            </w:r>
            <w:r>
              <w:rPr>
                <w:rFonts w:eastAsia="Times New Roman" w:cs="Aparajita"/>
                <w:snapToGrid w:val="0"/>
              </w:rPr>
              <w:t>exposure</w:t>
            </w:r>
          </w:p>
          <w:p w14:paraId="664CC81C" w14:textId="77777777" w:rsidR="0079616B" w:rsidRPr="002252D8" w:rsidRDefault="0079616B" w:rsidP="0079616B">
            <w:pPr>
              <w:widowControl w:val="0"/>
              <w:spacing w:after="0" w:line="240" w:lineRule="auto"/>
              <w:rPr>
                <w:rFonts w:eastAsia="Times New Roman" w:cs="Aparajita"/>
                <w:i/>
                <w:snapToGrid w:val="0"/>
              </w:rPr>
            </w:pPr>
            <w:r w:rsidRPr="002252D8">
              <w:rPr>
                <w:rFonts w:eastAsia="Times New Roman" w:cs="Aparajita"/>
                <w:i/>
                <w:snapToGrid w:val="0"/>
              </w:rPr>
              <w:t>Inhalation</w:t>
            </w:r>
          </w:p>
          <w:p w14:paraId="2AA5DAD3" w14:textId="77777777" w:rsidR="0079616B" w:rsidRPr="00A529E8" w:rsidRDefault="0079616B" w:rsidP="0079616B">
            <w:pPr>
              <w:widowControl w:val="0"/>
              <w:numPr>
                <w:ilvl w:val="0"/>
                <w:numId w:val="16"/>
              </w:numPr>
              <w:spacing w:after="0" w:line="240" w:lineRule="auto"/>
              <w:ind w:left="714" w:hanging="357"/>
              <w:contextualSpacing/>
              <w:rPr>
                <w:rFonts w:eastAsia="Times New Roman" w:cs="Aparajita"/>
                <w:snapToGrid w:val="0"/>
              </w:rPr>
            </w:pPr>
            <w:r w:rsidRPr="00A529E8">
              <w:rPr>
                <w:rFonts w:eastAsia="Times New Roman" w:cs="Aparajita"/>
                <w:snapToGrid w:val="0"/>
              </w:rPr>
              <w:t>Move to fresh air</w:t>
            </w:r>
          </w:p>
          <w:p w14:paraId="37C8A5C6" w14:textId="77777777" w:rsidR="0079616B" w:rsidRPr="00D5698D" w:rsidRDefault="0079616B" w:rsidP="0079616B">
            <w:pPr>
              <w:widowControl w:val="0"/>
              <w:numPr>
                <w:ilvl w:val="0"/>
                <w:numId w:val="16"/>
              </w:numPr>
              <w:spacing w:after="0" w:line="240" w:lineRule="auto"/>
              <w:ind w:left="714" w:hanging="357"/>
              <w:contextualSpacing/>
              <w:rPr>
                <w:rFonts w:eastAsia="Times New Roman" w:cs="Aparajita"/>
                <w:snapToGrid w:val="0"/>
              </w:rPr>
            </w:pPr>
            <w:r w:rsidRPr="00A529E8">
              <w:rPr>
                <w:rFonts w:eastAsia="Times New Roman" w:cs="Aparajita"/>
                <w:snapToGrid w:val="0"/>
              </w:rPr>
              <w:t xml:space="preserve">Dial </w:t>
            </w:r>
            <w:r w:rsidRPr="00A529E8">
              <w:rPr>
                <w:rFonts w:eastAsia="Times New Roman" w:cs="Aparajita"/>
                <w:b/>
                <w:snapToGrid w:val="0"/>
              </w:rPr>
              <w:t>911</w:t>
            </w:r>
            <w:r>
              <w:rPr>
                <w:rFonts w:eastAsia="Times New Roman" w:cs="Aparajita"/>
                <w:snapToGrid w:val="0"/>
              </w:rPr>
              <w:t xml:space="preserve"> and i</w:t>
            </w:r>
            <w:r w:rsidRPr="00D5698D">
              <w:rPr>
                <w:shd w:val="clear" w:color="auto" w:fill="FFFFFF"/>
              </w:rPr>
              <w:t>nform emergency responders that the accident involved</w:t>
            </w:r>
            <w:r>
              <w:rPr>
                <w:rFonts w:eastAsia="Times New Roman" w:cs="Aparajita"/>
                <w:snapToGrid w:val="0"/>
              </w:rPr>
              <w:t xml:space="preserve"> </w:t>
            </w:r>
            <w:r w:rsidR="00FD7F96">
              <w:rPr>
                <w:rFonts w:eastAsia="Times New Roman" w:cs="Aparajita"/>
                <w:snapToGrid w:val="0"/>
              </w:rPr>
              <w:t>isopropanol</w:t>
            </w:r>
          </w:p>
          <w:p w14:paraId="278C5D98" w14:textId="77777777" w:rsidR="004A0961" w:rsidRPr="00362737" w:rsidRDefault="0079616B" w:rsidP="0079616B">
            <w:pPr>
              <w:widowControl w:val="0"/>
              <w:spacing w:before="80" w:after="80" w:line="240" w:lineRule="auto"/>
              <w:rPr>
                <w:rFonts w:eastAsia="Times New Roman" w:cs="Aparajita"/>
                <w:snapToGrid w:val="0"/>
              </w:rPr>
            </w:pPr>
            <w:r w:rsidRPr="005D1245">
              <w:rPr>
                <w:rFonts w:eastAsia="Times New Roman" w:cs="Aparajita"/>
                <w:b/>
                <w:snapToGrid w:val="0"/>
              </w:rPr>
              <w:t xml:space="preserve">Report any incident to the PI </w:t>
            </w:r>
            <w:r w:rsidRPr="005D1245">
              <w:rPr>
                <w:rFonts w:eastAsia="Times New Roman" w:cs="Aparajita"/>
                <w:b/>
                <w:snapToGrid w:val="0"/>
                <w:u w:val="single"/>
              </w:rPr>
              <w:t>and</w:t>
            </w:r>
            <w:r w:rsidRPr="005D1245">
              <w:rPr>
                <w:rFonts w:eastAsia="Times New Roman" w:cs="Aparajita"/>
                <w:b/>
                <w:snapToGrid w:val="0"/>
              </w:rPr>
              <w:t xml:space="preserve"> fill out the </w:t>
            </w:r>
            <w:hyperlink r:id="rId14" w:history="1">
              <w:r w:rsidRPr="005D1245">
                <w:rPr>
                  <w:rStyle w:val="Hyperlink"/>
                  <w:rFonts w:eastAsia="Times New Roman" w:cs="Aparajita"/>
                  <w:b/>
                  <w:snapToGrid w:val="0"/>
                </w:rPr>
                <w:t>accident form</w:t>
              </w:r>
            </w:hyperlink>
          </w:p>
        </w:tc>
      </w:tr>
      <w:tr w:rsidR="008F164B" w:rsidRPr="00C85102" w14:paraId="24EB3152" w14:textId="77777777" w:rsidTr="008F164B">
        <w:trPr>
          <w:trHeight w:val="432"/>
          <w:jc w:val="center"/>
        </w:trPr>
        <w:tc>
          <w:tcPr>
            <w:tcW w:w="10800" w:type="dxa"/>
            <w:gridSpan w:val="4"/>
            <w:shd w:val="clear" w:color="auto" w:fill="000E2F"/>
            <w:vAlign w:val="center"/>
          </w:tcPr>
          <w:p w14:paraId="505D4349"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9 – WASTE MANAGEMENT</w:t>
            </w:r>
          </w:p>
        </w:tc>
      </w:tr>
      <w:tr w:rsidR="008F164B" w:rsidRPr="00362737" w14:paraId="5C0F8025" w14:textId="77777777" w:rsidTr="008F164B">
        <w:trPr>
          <w:trHeight w:val="432"/>
          <w:jc w:val="center"/>
        </w:trPr>
        <w:tc>
          <w:tcPr>
            <w:tcW w:w="10800" w:type="dxa"/>
            <w:gridSpan w:val="4"/>
            <w:shd w:val="clear" w:color="auto" w:fill="FFFFFF" w:themeFill="background1"/>
            <w:vAlign w:val="center"/>
          </w:tcPr>
          <w:p w14:paraId="6DCFDC8B" w14:textId="77777777" w:rsidR="0079616B" w:rsidRPr="003A595D" w:rsidRDefault="0079616B" w:rsidP="0079616B">
            <w:pPr>
              <w:pStyle w:val="ListParagraph"/>
              <w:widowControl w:val="0"/>
              <w:numPr>
                <w:ilvl w:val="0"/>
                <w:numId w:val="7"/>
              </w:numPr>
              <w:spacing w:before="80" w:after="80" w:line="240" w:lineRule="auto"/>
              <w:rPr>
                <w:rFonts w:eastAsia="Times New Roman" w:cs="Aparajita"/>
                <w:snapToGrid w:val="0"/>
              </w:rPr>
            </w:pPr>
            <w:r w:rsidRPr="003A595D">
              <w:rPr>
                <w:rFonts w:eastAsia="Times New Roman" w:cs="Aparajita"/>
                <w:snapToGrid w:val="0"/>
              </w:rPr>
              <w:t>All waste must be labeled with “Hazardous Waste” stickers or tags, use full chemical names to describe the waste (i.e., no chemical abbreviations or symbols), be stored in sturdy</w:t>
            </w:r>
            <w:r>
              <w:rPr>
                <w:rFonts w:eastAsia="Times New Roman" w:cs="Aparajita"/>
                <w:snapToGrid w:val="0"/>
              </w:rPr>
              <w:t xml:space="preserve"> </w:t>
            </w:r>
            <w:r w:rsidRPr="003A595D">
              <w:rPr>
                <w:rFonts w:eastAsia="Times New Roman" w:cs="Aparajita"/>
                <w:snapToGrid w:val="0"/>
              </w:rPr>
              <w:t>containers with tight-fitting caps or lids, and be stored alone or with</w:t>
            </w:r>
            <w:r>
              <w:rPr>
                <w:rFonts w:eastAsia="Times New Roman" w:cs="Aparajita"/>
                <w:snapToGrid w:val="0"/>
              </w:rPr>
              <w:t xml:space="preserve"> other compatible chemicals</w:t>
            </w:r>
          </w:p>
          <w:p w14:paraId="5A4CC4D1" w14:textId="77777777" w:rsidR="0079616B" w:rsidRPr="00FB4B6D" w:rsidRDefault="0079616B" w:rsidP="0079616B">
            <w:pPr>
              <w:pStyle w:val="ListParagraph"/>
              <w:widowControl w:val="0"/>
              <w:numPr>
                <w:ilvl w:val="0"/>
                <w:numId w:val="7"/>
              </w:numPr>
              <w:spacing w:before="80" w:after="80" w:line="240" w:lineRule="auto"/>
              <w:rPr>
                <w:rFonts w:eastAsia="Times New Roman" w:cs="Aparajita"/>
                <w:snapToGrid w:val="0"/>
              </w:rPr>
            </w:pPr>
            <w:r w:rsidRPr="007A3C8E">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15" w:history="1">
              <w:r w:rsidRPr="00FB4B6D">
                <w:rPr>
                  <w:rStyle w:val="Hyperlink"/>
                  <w:rFonts w:eastAsia="Times New Roman" w:cs="Aparajita"/>
                  <w:snapToGrid w:val="0"/>
                </w:rPr>
                <w:t>waste pickup form</w:t>
              </w:r>
            </w:hyperlink>
          </w:p>
          <w:p w14:paraId="4E277DBC" w14:textId="77777777" w:rsidR="004A0961" w:rsidRPr="00E51A8A" w:rsidRDefault="0079616B" w:rsidP="0079616B">
            <w:pPr>
              <w:pStyle w:val="ListParagraph"/>
              <w:widowControl w:val="0"/>
              <w:numPr>
                <w:ilvl w:val="0"/>
                <w:numId w:val="7"/>
              </w:numPr>
              <w:spacing w:before="80" w:after="80" w:line="240" w:lineRule="auto"/>
              <w:rPr>
                <w:rFonts w:eastAsia="Times New Roman" w:cs="Aparajita"/>
                <w:snapToGrid w:val="0"/>
              </w:rPr>
            </w:pPr>
            <w:r w:rsidRPr="00E51A8A">
              <w:rPr>
                <w:rFonts w:eastAsia="Times New Roman" w:cs="Aparajita"/>
                <w:snapToGrid w:val="0"/>
              </w:rPr>
              <w:t xml:space="preserve">The </w:t>
            </w:r>
            <w:hyperlink r:id="rId16" w:history="1">
              <w:r w:rsidRPr="00E51A8A">
                <w:rPr>
                  <w:rStyle w:val="Hyperlink"/>
                  <w:rFonts w:eastAsia="Times New Roman" w:cs="Aparajita"/>
                  <w:snapToGrid w:val="0"/>
                </w:rPr>
                <w:t>Chemical Waste Disposal Manual</w:t>
              </w:r>
            </w:hyperlink>
            <w:r w:rsidRPr="00E51A8A">
              <w:rPr>
                <w:rFonts w:eastAsia="Times New Roman" w:cs="Aparajita"/>
                <w:snapToGrid w:val="0"/>
              </w:rPr>
              <w:t xml:space="preserve"> must be used as a reference</w:t>
            </w:r>
          </w:p>
        </w:tc>
      </w:tr>
      <w:tr w:rsidR="008F164B" w:rsidRPr="00C85102" w14:paraId="658C8B88" w14:textId="77777777" w:rsidTr="008F164B">
        <w:trPr>
          <w:trHeight w:val="432"/>
          <w:jc w:val="center"/>
        </w:trPr>
        <w:tc>
          <w:tcPr>
            <w:tcW w:w="10800" w:type="dxa"/>
            <w:gridSpan w:val="4"/>
            <w:shd w:val="clear" w:color="auto" w:fill="000E2F"/>
            <w:vAlign w:val="center"/>
          </w:tcPr>
          <w:p w14:paraId="59B3E607"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8F164B" w:rsidRPr="00362737" w14:paraId="7836B5B9" w14:textId="77777777" w:rsidTr="00FD7F96">
        <w:trPr>
          <w:trHeight w:val="171"/>
          <w:jc w:val="center"/>
        </w:trPr>
        <w:tc>
          <w:tcPr>
            <w:tcW w:w="1976" w:type="dxa"/>
            <w:shd w:val="clear" w:color="auto" w:fill="FFFFFF" w:themeFill="background1"/>
            <w:vAlign w:val="center"/>
          </w:tcPr>
          <w:p w14:paraId="5BD1DD4F" w14:textId="77777777" w:rsidR="0079616B" w:rsidRPr="00DA1599" w:rsidRDefault="0079616B" w:rsidP="00685D18">
            <w:pPr>
              <w:widowControl w:val="0"/>
              <w:spacing w:after="0" w:line="240" w:lineRule="auto"/>
              <w:rPr>
                <w:rFonts w:eastAsia="Times New Roman" w:cs="Aparajita"/>
                <w:b/>
                <w:bCs/>
                <w:snapToGrid w:val="0"/>
              </w:rPr>
            </w:pPr>
            <w:r w:rsidRPr="00F94616">
              <w:rPr>
                <w:rFonts w:eastAsia="Times New Roman" w:cs="Aparajita"/>
                <w:snapToGrid w:val="0"/>
              </w:rPr>
              <w:t>Work Area</w:t>
            </w:r>
          </w:p>
        </w:tc>
        <w:tc>
          <w:tcPr>
            <w:tcW w:w="8824" w:type="dxa"/>
            <w:gridSpan w:val="3"/>
            <w:shd w:val="clear" w:color="auto" w:fill="FFFFFF" w:themeFill="background1"/>
            <w:vAlign w:val="center"/>
          </w:tcPr>
          <w:p w14:paraId="1D241809" w14:textId="77777777" w:rsidR="0079616B" w:rsidRPr="00D5698D" w:rsidRDefault="0079616B" w:rsidP="0079616B">
            <w:pPr>
              <w:pStyle w:val="ListParagraph"/>
              <w:widowControl w:val="0"/>
              <w:numPr>
                <w:ilvl w:val="0"/>
                <w:numId w:val="18"/>
              </w:numPr>
              <w:spacing w:after="0" w:line="240" w:lineRule="auto"/>
              <w:rPr>
                <w:rFonts w:eastAsia="Times New Roman" w:cs="Aparajita"/>
                <w:snapToGrid w:val="0"/>
                <w:color w:val="000000" w:themeColor="text1"/>
              </w:rPr>
            </w:pPr>
            <w:r w:rsidRPr="00D5698D">
              <w:rPr>
                <w:rFonts w:eastAsia="Times New Roman" w:cs="Aparajita"/>
                <w:snapToGrid w:val="0"/>
                <w:color w:val="000000" w:themeColor="text1"/>
              </w:rPr>
              <w:t>Equipment can be decontaminated through rinse with copious amounts of water; use of surfactants is recommended.</w:t>
            </w:r>
          </w:p>
          <w:p w14:paraId="0CBAE02C" w14:textId="77777777" w:rsidR="0079616B" w:rsidRPr="00D5698D" w:rsidRDefault="00FD7F96" w:rsidP="0079616B">
            <w:pPr>
              <w:pStyle w:val="ListParagraph"/>
              <w:widowControl w:val="0"/>
              <w:numPr>
                <w:ilvl w:val="0"/>
                <w:numId w:val="18"/>
              </w:numPr>
              <w:spacing w:after="0" w:line="240" w:lineRule="auto"/>
              <w:rPr>
                <w:rFonts w:eastAsia="Times New Roman" w:cs="Aparajita"/>
                <w:b/>
                <w:bCs/>
                <w:snapToGrid w:val="0"/>
              </w:rPr>
            </w:pPr>
            <w:r>
              <w:rPr>
                <w:rFonts w:eastAsia="Times New Roman" w:cs="Aparajita"/>
                <w:snapToGrid w:val="0"/>
                <w:color w:val="000000" w:themeColor="text1"/>
              </w:rPr>
              <w:t>Check with pH paper if the surface was successfully decontaminated</w:t>
            </w:r>
          </w:p>
        </w:tc>
      </w:tr>
      <w:tr w:rsidR="008F164B" w:rsidRPr="00362737" w14:paraId="780C6F79" w14:textId="77777777" w:rsidTr="00FD7F96">
        <w:trPr>
          <w:trHeight w:val="751"/>
          <w:jc w:val="center"/>
        </w:trPr>
        <w:tc>
          <w:tcPr>
            <w:tcW w:w="1976" w:type="dxa"/>
            <w:shd w:val="clear" w:color="auto" w:fill="FFFFFF" w:themeFill="background1"/>
            <w:vAlign w:val="center"/>
          </w:tcPr>
          <w:p w14:paraId="65E66DD2" w14:textId="77777777" w:rsidR="0079616B" w:rsidRPr="00DA1599" w:rsidRDefault="0079616B" w:rsidP="00685D18">
            <w:pPr>
              <w:widowControl w:val="0"/>
              <w:spacing w:after="0" w:line="240" w:lineRule="auto"/>
              <w:rPr>
                <w:rFonts w:eastAsia="Times New Roman" w:cs="Aparajita"/>
                <w:b/>
                <w:bCs/>
                <w:snapToGrid w:val="0"/>
              </w:rPr>
            </w:pPr>
            <w:r w:rsidRPr="00F94616">
              <w:rPr>
                <w:rFonts w:eastAsia="Times New Roman" w:cs="Aparajita"/>
                <w:snapToGrid w:val="0"/>
              </w:rPr>
              <w:t>Personal</w:t>
            </w:r>
            <w:r>
              <w:rPr>
                <w:rFonts w:eastAsia="Times New Roman" w:cs="Aparajita"/>
                <w:snapToGrid w:val="0"/>
              </w:rPr>
              <w:t xml:space="preserve"> </w:t>
            </w:r>
            <w:r w:rsidRPr="00F94616">
              <w:rPr>
                <w:rFonts w:eastAsia="Times New Roman" w:cs="Aparajita"/>
                <w:snapToGrid w:val="0"/>
              </w:rPr>
              <w:t>Hygiene</w:t>
            </w:r>
          </w:p>
        </w:tc>
        <w:tc>
          <w:tcPr>
            <w:tcW w:w="8824" w:type="dxa"/>
            <w:gridSpan w:val="3"/>
            <w:shd w:val="clear" w:color="auto" w:fill="FFFFFF" w:themeFill="background1"/>
            <w:vAlign w:val="center"/>
          </w:tcPr>
          <w:p w14:paraId="540FF59E" w14:textId="77777777" w:rsidR="0079616B" w:rsidRDefault="0079616B" w:rsidP="0079616B">
            <w:pPr>
              <w:pStyle w:val="ListParagraph"/>
              <w:widowControl w:val="0"/>
              <w:numPr>
                <w:ilvl w:val="0"/>
                <w:numId w:val="19"/>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Use standard chemical hygiene practices regarding PPE (see ab</w:t>
            </w:r>
            <w:r>
              <w:rPr>
                <w:rFonts w:eastAsia="Times New Roman" w:cs="Aparajita"/>
                <w:snapToGrid w:val="0"/>
                <w:color w:val="000000" w:themeColor="text1"/>
              </w:rPr>
              <w:t>o</w:t>
            </w:r>
            <w:r w:rsidRPr="00AD633A">
              <w:rPr>
                <w:rFonts w:eastAsia="Times New Roman" w:cs="Aparajita"/>
                <w:snapToGrid w:val="0"/>
                <w:color w:val="000000" w:themeColor="text1"/>
              </w:rPr>
              <w:t>ve).</w:t>
            </w:r>
          </w:p>
          <w:p w14:paraId="034E908F" w14:textId="5A49641C" w:rsidR="0079616B" w:rsidRPr="00D5698D" w:rsidRDefault="0079616B" w:rsidP="0079616B">
            <w:pPr>
              <w:pStyle w:val="ListParagraph"/>
              <w:widowControl w:val="0"/>
              <w:numPr>
                <w:ilvl w:val="0"/>
                <w:numId w:val="19"/>
              </w:numPr>
              <w:spacing w:after="0" w:line="240" w:lineRule="auto"/>
              <w:rPr>
                <w:rFonts w:eastAsia="Times New Roman" w:cs="Aparajita"/>
                <w:snapToGrid w:val="0"/>
                <w:color w:val="000000" w:themeColor="text1"/>
              </w:rPr>
            </w:pPr>
            <w:r>
              <w:rPr>
                <w:rFonts w:eastAsia="Times New Roman" w:cs="Aparajita"/>
                <w:snapToGrid w:val="0"/>
                <w:color w:val="000000" w:themeColor="text1"/>
              </w:rPr>
              <w:t xml:space="preserve">Wash hand thoroughly after handling </w:t>
            </w:r>
            <w:r w:rsidR="00FF782B">
              <w:rPr>
                <w:rFonts w:eastAsia="Times New Roman" w:cs="Aparajita"/>
                <w:snapToGrid w:val="0"/>
              </w:rPr>
              <w:t>base bath</w:t>
            </w:r>
          </w:p>
        </w:tc>
      </w:tr>
      <w:tr w:rsidR="008F164B" w:rsidRPr="00C85102" w14:paraId="55836A60" w14:textId="77777777" w:rsidTr="008F164B">
        <w:trPr>
          <w:trHeight w:val="432"/>
          <w:jc w:val="center"/>
        </w:trPr>
        <w:tc>
          <w:tcPr>
            <w:tcW w:w="10800" w:type="dxa"/>
            <w:gridSpan w:val="4"/>
            <w:shd w:val="clear" w:color="auto" w:fill="000E2F"/>
            <w:vAlign w:val="center"/>
          </w:tcPr>
          <w:p w14:paraId="101D77A3"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8F164B" w:rsidRPr="00362737" w14:paraId="463F801D" w14:textId="77777777" w:rsidTr="008F164B">
        <w:trPr>
          <w:trHeight w:val="432"/>
          <w:jc w:val="center"/>
        </w:trPr>
        <w:tc>
          <w:tcPr>
            <w:tcW w:w="10800" w:type="dxa"/>
            <w:gridSpan w:val="4"/>
            <w:shd w:val="clear" w:color="auto" w:fill="FFFFFF" w:themeFill="background1"/>
            <w:vAlign w:val="center"/>
          </w:tcPr>
          <w:p w14:paraId="2D94CDA0" w14:textId="77777777" w:rsidR="00C05B56" w:rsidRDefault="000570F1" w:rsidP="00FD7F96">
            <w:pPr>
              <w:widowControl w:val="0"/>
              <w:spacing w:before="80" w:after="80" w:line="240" w:lineRule="auto"/>
              <w:rPr>
                <w:rFonts w:eastAsia="Times New Roman" w:cs="Aparajita"/>
                <w:snapToGrid w:val="0"/>
              </w:rPr>
            </w:pPr>
            <w:r w:rsidRPr="00C05B56">
              <w:rPr>
                <w:rFonts w:eastAsia="Times New Roman" w:cs="Aparajita"/>
                <w:b/>
                <w:snapToGrid w:val="0"/>
              </w:rPr>
              <w:t>Pro</w:t>
            </w:r>
            <w:r w:rsidR="00FD7F96" w:rsidRPr="00C05B56">
              <w:rPr>
                <w:rFonts w:eastAsia="Times New Roman" w:cs="Aparajita"/>
                <w:b/>
                <w:snapToGrid w:val="0"/>
              </w:rPr>
              <w:t>cedure for preparing a base bath</w:t>
            </w:r>
            <w:r w:rsidR="00FD7F96">
              <w:rPr>
                <w:rFonts w:eastAsia="Times New Roman" w:cs="Aparajita"/>
                <w:snapToGrid w:val="0"/>
              </w:rPr>
              <w:t xml:space="preserve"> </w:t>
            </w:r>
          </w:p>
          <w:p w14:paraId="40A14A6B" w14:textId="77777777" w:rsidR="0060252D" w:rsidRDefault="00FD7F96" w:rsidP="00FD7F96">
            <w:pPr>
              <w:widowControl w:val="0"/>
              <w:spacing w:before="80" w:after="80" w:line="240" w:lineRule="auto"/>
              <w:rPr>
                <w:rFonts w:eastAsia="Times New Roman" w:cs="Aparajita"/>
                <w:snapToGrid w:val="0"/>
              </w:rPr>
            </w:pPr>
            <w:r>
              <w:rPr>
                <w:rFonts w:eastAsia="Times New Roman" w:cs="Aparajita"/>
                <w:snapToGrid w:val="0"/>
              </w:rPr>
              <w:t>(see also</w:t>
            </w:r>
            <w:r w:rsidR="00C05B56">
              <w:rPr>
                <w:rFonts w:eastAsia="Times New Roman" w:cs="Aparajita"/>
                <w:snapToGrid w:val="0"/>
              </w:rPr>
              <w:t xml:space="preserve">: </w:t>
            </w:r>
            <w:r w:rsidR="00C05B56" w:rsidRPr="00C05B56">
              <w:rPr>
                <w:rFonts w:eastAsia="Times New Roman" w:cs="Aparajita"/>
                <w:snapToGrid w:val="0"/>
              </w:rPr>
              <w:t>"The Chemist's Companion: A</w:t>
            </w:r>
            <w:r w:rsidR="00C05B56">
              <w:rPr>
                <w:rFonts w:eastAsia="Times New Roman" w:cs="Aparajita"/>
                <w:snapToGrid w:val="0"/>
              </w:rPr>
              <w:t xml:space="preserve"> </w:t>
            </w:r>
            <w:r w:rsidR="00C05B56" w:rsidRPr="00C05B56">
              <w:rPr>
                <w:rFonts w:eastAsia="Times New Roman" w:cs="Aparajita"/>
                <w:snapToGrid w:val="0"/>
              </w:rPr>
              <w:t>Handbook of Practical Data, Techniques, and References" A. J. Gordon and R. A. Ford,</w:t>
            </w:r>
            <w:r w:rsidR="00C05B56">
              <w:rPr>
                <w:rFonts w:eastAsia="Times New Roman" w:cs="Aparajita"/>
                <w:snapToGrid w:val="0"/>
              </w:rPr>
              <w:t xml:space="preserve"> </w:t>
            </w:r>
            <w:r w:rsidR="00C05B56" w:rsidRPr="00C05B56">
              <w:rPr>
                <w:rFonts w:eastAsia="Times New Roman" w:cs="Aparajita"/>
                <w:snapToGrid w:val="0"/>
              </w:rPr>
              <w:t>John Wiley and Sons, New York, 1972 pp 428-</w:t>
            </w:r>
            <w:r w:rsidR="00C05B56">
              <w:rPr>
                <w:rFonts w:eastAsia="Times New Roman" w:cs="Aparajita"/>
                <w:snapToGrid w:val="0"/>
              </w:rPr>
              <w:t>42</w:t>
            </w:r>
            <w:r w:rsidR="00C05B56" w:rsidRPr="00C05B56">
              <w:rPr>
                <w:rFonts w:eastAsia="Times New Roman" w:cs="Aparajita"/>
                <w:snapToGrid w:val="0"/>
              </w:rPr>
              <w:t>9.</w:t>
            </w:r>
            <w:r w:rsidR="00C05B56">
              <w:rPr>
                <w:rFonts w:eastAsia="Times New Roman" w:cs="Aparajita"/>
                <w:snapToGrid w:val="0"/>
              </w:rPr>
              <w:t xml:space="preserve"> – book is in the library </w:t>
            </w:r>
            <w:proofErr w:type="gramStart"/>
            <w:r w:rsidR="00C05B56">
              <w:rPr>
                <w:rFonts w:eastAsia="Times New Roman" w:cs="Aparajita"/>
                <w:snapToGrid w:val="0"/>
              </w:rPr>
              <w:t>I  R</w:t>
            </w:r>
            <w:proofErr w:type="gramEnd"/>
            <w:r w:rsidR="00C05B56">
              <w:rPr>
                <w:rFonts w:eastAsia="Times New Roman" w:cs="Aparajita"/>
                <w:snapToGrid w:val="0"/>
              </w:rPr>
              <w:t>415</w:t>
            </w:r>
            <w:r>
              <w:rPr>
                <w:rFonts w:eastAsia="Times New Roman" w:cs="Aparajita"/>
                <w:snapToGrid w:val="0"/>
              </w:rPr>
              <w:t>):</w:t>
            </w:r>
          </w:p>
          <w:p w14:paraId="06B0B5CE" w14:textId="6FB04E3B" w:rsidR="00C05B56" w:rsidRDefault="00C05B56" w:rsidP="00C05B56">
            <w:pPr>
              <w:pStyle w:val="ListParagraph"/>
              <w:widowControl w:val="0"/>
              <w:numPr>
                <w:ilvl w:val="0"/>
                <w:numId w:val="20"/>
              </w:numPr>
              <w:spacing w:before="80" w:after="80" w:line="240" w:lineRule="auto"/>
              <w:rPr>
                <w:rFonts w:eastAsia="Times New Roman" w:cs="Aparajita"/>
                <w:snapToGrid w:val="0"/>
              </w:rPr>
            </w:pPr>
            <w:r w:rsidRPr="00C05B56">
              <w:rPr>
                <w:rFonts w:eastAsia="Times New Roman" w:cs="Aparajita"/>
                <w:snapToGrid w:val="0"/>
              </w:rPr>
              <w:t xml:space="preserve">Place approximately 8 liters of isopropanol in </w:t>
            </w:r>
            <w:r w:rsidR="00395B54">
              <w:rPr>
                <w:rFonts w:eastAsia="Times New Roman" w:cs="Aparajita"/>
                <w:snapToGrid w:val="0"/>
              </w:rPr>
              <w:t>the designated heavy-</w:t>
            </w:r>
            <w:r>
              <w:rPr>
                <w:rFonts w:eastAsia="Times New Roman" w:cs="Aparajita"/>
                <w:snapToGrid w:val="0"/>
              </w:rPr>
              <w:t xml:space="preserve">duty </w:t>
            </w:r>
            <w:r w:rsidRPr="00C05B56">
              <w:rPr>
                <w:rFonts w:eastAsia="Times New Roman" w:cs="Aparajita"/>
                <w:snapToGrid w:val="0"/>
              </w:rPr>
              <w:t>plastic bucket that has a tight</w:t>
            </w:r>
            <w:r w:rsidR="00395B54">
              <w:rPr>
                <w:rFonts w:eastAsia="Times New Roman" w:cs="Aparajita"/>
                <w:snapToGrid w:val="0"/>
              </w:rPr>
              <w:t>-</w:t>
            </w:r>
            <w:r w:rsidRPr="00C05B56">
              <w:rPr>
                <w:rFonts w:eastAsia="Times New Roman" w:cs="Aparajita"/>
                <w:snapToGrid w:val="0"/>
              </w:rPr>
              <w:t>fitting lid.</w:t>
            </w:r>
          </w:p>
          <w:p w14:paraId="443B4586" w14:textId="77777777" w:rsidR="00C05B56" w:rsidRDefault="00C05B56" w:rsidP="00C05B56">
            <w:pPr>
              <w:pStyle w:val="ListParagraph"/>
              <w:widowControl w:val="0"/>
              <w:numPr>
                <w:ilvl w:val="0"/>
                <w:numId w:val="20"/>
              </w:numPr>
              <w:spacing w:before="80" w:after="80" w:line="240" w:lineRule="auto"/>
              <w:rPr>
                <w:rFonts w:eastAsia="Times New Roman" w:cs="Aparajita"/>
                <w:snapToGrid w:val="0"/>
              </w:rPr>
            </w:pPr>
            <w:r w:rsidRPr="00C05B56">
              <w:rPr>
                <w:rFonts w:eastAsia="Times New Roman" w:cs="Aparajita"/>
                <w:snapToGrid w:val="0"/>
              </w:rPr>
              <w:t>To the isopropanol, carefully add about 1 kg KOH</w:t>
            </w:r>
          </w:p>
          <w:p w14:paraId="30E70D88" w14:textId="77777777" w:rsidR="00C05B56" w:rsidRDefault="00C05B56" w:rsidP="00C05B56">
            <w:pPr>
              <w:pStyle w:val="ListParagraph"/>
              <w:widowControl w:val="0"/>
              <w:numPr>
                <w:ilvl w:val="0"/>
                <w:numId w:val="20"/>
              </w:numPr>
              <w:spacing w:before="80" w:after="80" w:line="240" w:lineRule="auto"/>
              <w:rPr>
                <w:rFonts w:eastAsia="Times New Roman" w:cs="Aparajita"/>
                <w:snapToGrid w:val="0"/>
              </w:rPr>
            </w:pPr>
            <w:r>
              <w:rPr>
                <w:rFonts w:eastAsia="Times New Roman" w:cs="Aparajita"/>
                <w:snapToGrid w:val="0"/>
              </w:rPr>
              <w:t>You may add a little water to assist in the dissolution of the base</w:t>
            </w:r>
          </w:p>
          <w:p w14:paraId="2AFEEACE" w14:textId="77777777" w:rsidR="00C05B56" w:rsidRPr="00C05B56" w:rsidRDefault="00C05B56" w:rsidP="00C05B56">
            <w:pPr>
              <w:pStyle w:val="ListParagraph"/>
              <w:widowControl w:val="0"/>
              <w:numPr>
                <w:ilvl w:val="0"/>
                <w:numId w:val="20"/>
              </w:numPr>
              <w:spacing w:before="80" w:after="80" w:line="240" w:lineRule="auto"/>
              <w:rPr>
                <w:rFonts w:eastAsia="Times New Roman" w:cs="Aparajita"/>
                <w:snapToGrid w:val="0"/>
              </w:rPr>
            </w:pPr>
            <w:r>
              <w:rPr>
                <w:rFonts w:eastAsia="Times New Roman" w:cs="Aparajita"/>
                <w:snapToGrid w:val="0"/>
              </w:rPr>
              <w:t>Stir gently</w:t>
            </w:r>
          </w:p>
          <w:p w14:paraId="1082B6DB" w14:textId="77777777" w:rsidR="00C05B56" w:rsidRPr="00903E9C" w:rsidRDefault="00C05B56" w:rsidP="00903E9C">
            <w:pPr>
              <w:pStyle w:val="ListParagraph"/>
              <w:widowControl w:val="0"/>
              <w:numPr>
                <w:ilvl w:val="0"/>
                <w:numId w:val="20"/>
              </w:numPr>
              <w:spacing w:before="80" w:after="80"/>
              <w:rPr>
                <w:rFonts w:eastAsia="Times New Roman" w:cs="Aparajita"/>
                <w:snapToGrid w:val="0"/>
              </w:rPr>
            </w:pPr>
            <w:r w:rsidRPr="00C05B56">
              <w:rPr>
                <w:rFonts w:eastAsia="Times New Roman" w:cs="Aparajita"/>
                <w:snapToGrid w:val="0"/>
              </w:rPr>
              <w:t xml:space="preserve">Base baths should be topped off with isopropanol/KOH as the volume or cleaning ability decreases, normally the base bath is useable for </w:t>
            </w:r>
            <w:r>
              <w:rPr>
                <w:rFonts w:eastAsia="Times New Roman" w:cs="Aparajita"/>
                <w:snapToGrid w:val="0"/>
              </w:rPr>
              <w:t xml:space="preserve">many months or years (depending on the rate of use; even a dark base bath still cleans very </w:t>
            </w:r>
            <w:r w:rsidR="00903E9C">
              <w:rPr>
                <w:rFonts w:eastAsia="Times New Roman" w:cs="Aparajita"/>
                <w:snapToGrid w:val="0"/>
              </w:rPr>
              <w:t>well)</w:t>
            </w:r>
          </w:p>
          <w:p w14:paraId="01ADB71F" w14:textId="77777777" w:rsidR="00C05B56" w:rsidRDefault="00C05B56" w:rsidP="00C05B56">
            <w:pPr>
              <w:widowControl w:val="0"/>
              <w:spacing w:before="80" w:after="80" w:line="240" w:lineRule="auto"/>
              <w:rPr>
                <w:rFonts w:eastAsia="Times New Roman" w:cs="Aparajita"/>
                <w:snapToGrid w:val="0"/>
              </w:rPr>
            </w:pPr>
          </w:p>
          <w:p w14:paraId="0056BF49" w14:textId="77777777" w:rsidR="00C05B56" w:rsidRPr="00C05B56" w:rsidRDefault="00C05B56" w:rsidP="00C05B56">
            <w:pPr>
              <w:widowControl w:val="0"/>
              <w:spacing w:before="80" w:after="80" w:line="240" w:lineRule="auto"/>
              <w:rPr>
                <w:rFonts w:eastAsia="Times New Roman" w:cs="Aparajita"/>
                <w:snapToGrid w:val="0"/>
              </w:rPr>
            </w:pPr>
          </w:p>
          <w:p w14:paraId="1AF50EA5" w14:textId="77777777" w:rsidR="00FD7F96" w:rsidRPr="000570F1" w:rsidRDefault="00FD7F96" w:rsidP="00FD7F96">
            <w:pPr>
              <w:widowControl w:val="0"/>
              <w:spacing w:before="80" w:after="80" w:line="240" w:lineRule="auto"/>
              <w:rPr>
                <w:rFonts w:eastAsia="Times New Roman" w:cs="Aparajita"/>
                <w:snapToGrid w:val="0"/>
              </w:rPr>
            </w:pPr>
          </w:p>
        </w:tc>
      </w:tr>
    </w:tbl>
    <w:p w14:paraId="0D22C09D" w14:textId="77777777" w:rsidR="00AC441D" w:rsidRDefault="00AC441D">
      <w:pPr>
        <w:jc w:val="center"/>
      </w:pPr>
      <w:r>
        <w:br w:type="page"/>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41"/>
        <w:gridCol w:w="2430"/>
        <w:gridCol w:w="1402"/>
      </w:tblGrid>
      <w:tr w:rsidR="00C76674" w:rsidRPr="00C85102" w14:paraId="11A6117A" w14:textId="77777777" w:rsidTr="00C364C3">
        <w:trPr>
          <w:trHeight w:val="434"/>
          <w:jc w:val="center"/>
        </w:trPr>
        <w:tc>
          <w:tcPr>
            <w:tcW w:w="10373" w:type="dxa"/>
            <w:gridSpan w:val="3"/>
            <w:shd w:val="clear" w:color="auto" w:fill="000E2F"/>
            <w:vAlign w:val="center"/>
          </w:tcPr>
          <w:p w14:paraId="094405FB" w14:textId="77777777" w:rsidR="00C76674" w:rsidRPr="00174A02" w:rsidRDefault="00174A02" w:rsidP="00C364C3">
            <w:pPr>
              <w:widowControl w:val="0"/>
              <w:spacing w:after="0" w:line="240" w:lineRule="auto"/>
              <w:jc w:val="center"/>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504BA361" w14:textId="77777777" w:rsidTr="00395B54">
        <w:trPr>
          <w:trHeight w:val="3505"/>
          <w:jc w:val="center"/>
        </w:trPr>
        <w:tc>
          <w:tcPr>
            <w:tcW w:w="10373" w:type="dxa"/>
            <w:gridSpan w:val="3"/>
            <w:shd w:val="clear" w:color="auto" w:fill="FFFFFF" w:themeFill="background1"/>
            <w:vAlign w:val="center"/>
          </w:tcPr>
          <w:p w14:paraId="2AF93E01" w14:textId="77777777"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0079616B">
              <w:rPr>
                <w:rFonts w:eastAsia="Times New Roman" w:cs="Aparajita"/>
                <w:snapToGrid w:val="0"/>
              </w:rPr>
              <w:t xml:space="preserve"> for the use of </w:t>
            </w:r>
            <w:r w:rsidR="00903E9C">
              <w:rPr>
                <w:rFonts w:eastAsia="Times New Roman" w:cs="Aparajita"/>
                <w:snapToGrid w:val="0"/>
              </w:rPr>
              <w:t>the KOH/isopropanol base bath</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17"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8"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36CC672F"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 is required if any of the following events occur:</w:t>
            </w:r>
          </w:p>
          <w:p w14:paraId="5A9F401A"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2A6B10F8"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w:t>
            </w:r>
            <w:r w:rsidR="0079616B">
              <w:rPr>
                <w:rFonts w:eastAsia="Times New Roman" w:cs="Aparajita"/>
              </w:rPr>
              <w:t>T</w:t>
            </w:r>
            <w:r w:rsidR="00A17111" w:rsidRPr="00362737">
              <w:rPr>
                <w:rFonts w:eastAsia="Times New Roman" w:cs="Aparajita"/>
              </w:rPr>
              <w:t>, etc.)</w:t>
            </w:r>
          </w:p>
          <w:p w14:paraId="6876C6AB"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2FB08063"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213A2FE2" w14:textId="77777777" w:rsidR="00C76674" w:rsidRPr="000570F1" w:rsidRDefault="0060252D" w:rsidP="0079616B">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p>
        </w:tc>
      </w:tr>
      <w:tr w:rsidR="0079616B" w:rsidRPr="00C85102" w14:paraId="6FBFCD1E" w14:textId="77777777" w:rsidTr="00C364C3">
        <w:trPr>
          <w:trHeight w:val="641"/>
          <w:jc w:val="center"/>
        </w:trPr>
        <w:tc>
          <w:tcPr>
            <w:tcW w:w="6541" w:type="dxa"/>
            <w:shd w:val="clear" w:color="auto" w:fill="D9D9D9" w:themeFill="background1" w:themeFillShade="D9"/>
            <w:vAlign w:val="center"/>
          </w:tcPr>
          <w:p w14:paraId="00C79583"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429" w:type="dxa"/>
            <w:shd w:val="clear" w:color="auto" w:fill="D9D9D9" w:themeFill="background1" w:themeFillShade="D9"/>
            <w:vAlign w:val="center"/>
          </w:tcPr>
          <w:p w14:paraId="03BF6AD5"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401" w:type="dxa"/>
            <w:shd w:val="clear" w:color="auto" w:fill="D9D9D9" w:themeFill="background1" w:themeFillShade="D9"/>
            <w:vAlign w:val="center"/>
          </w:tcPr>
          <w:p w14:paraId="61720F3F"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79616B" w:rsidRPr="00C85102" w14:paraId="302EB77B" w14:textId="77777777" w:rsidTr="00C364C3">
        <w:trPr>
          <w:trHeight w:val="723"/>
          <w:jc w:val="center"/>
        </w:trPr>
        <w:tc>
          <w:tcPr>
            <w:tcW w:w="6541" w:type="dxa"/>
            <w:shd w:val="clear" w:color="auto" w:fill="FFFFFF" w:themeFill="background1"/>
            <w:vAlign w:val="center"/>
          </w:tcPr>
          <w:p w14:paraId="2C2CE1B3" w14:textId="77777777" w:rsidR="002B1DB7" w:rsidRDefault="002B1DB7"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50DB55C9" w14:textId="77777777" w:rsidR="002B1DB7" w:rsidRDefault="002B1DB7"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0976DDFC" w14:textId="77777777" w:rsidR="002B1DB7" w:rsidRDefault="002B1DB7" w:rsidP="0079616B">
            <w:pPr>
              <w:widowControl w:val="0"/>
              <w:spacing w:after="0" w:line="240" w:lineRule="auto"/>
              <w:rPr>
                <w:rFonts w:eastAsia="Times New Roman" w:cs="Aparajita"/>
                <w:snapToGrid w:val="0"/>
              </w:rPr>
            </w:pPr>
          </w:p>
        </w:tc>
      </w:tr>
      <w:tr w:rsidR="0079616B" w:rsidRPr="00C85102" w14:paraId="65E195AE" w14:textId="77777777" w:rsidTr="00C364C3">
        <w:trPr>
          <w:trHeight w:val="723"/>
          <w:jc w:val="center"/>
        </w:trPr>
        <w:tc>
          <w:tcPr>
            <w:tcW w:w="6541" w:type="dxa"/>
            <w:shd w:val="clear" w:color="auto" w:fill="FFFFFF" w:themeFill="background1"/>
            <w:vAlign w:val="center"/>
          </w:tcPr>
          <w:p w14:paraId="0B41C699" w14:textId="77777777" w:rsidR="002B1DB7" w:rsidRDefault="002B1DB7"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756C980C" w14:textId="77777777" w:rsidR="002B1DB7" w:rsidRDefault="002B1DB7"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6211F49A" w14:textId="77777777" w:rsidR="002B1DB7" w:rsidRDefault="002B1DB7" w:rsidP="0079616B">
            <w:pPr>
              <w:widowControl w:val="0"/>
              <w:spacing w:after="0" w:line="240" w:lineRule="auto"/>
              <w:rPr>
                <w:rFonts w:eastAsia="Times New Roman" w:cs="Aparajita"/>
                <w:snapToGrid w:val="0"/>
              </w:rPr>
            </w:pPr>
          </w:p>
        </w:tc>
      </w:tr>
      <w:tr w:rsidR="0079616B" w:rsidRPr="00C85102" w14:paraId="5D6FF1FB" w14:textId="77777777" w:rsidTr="00C364C3">
        <w:trPr>
          <w:trHeight w:val="723"/>
          <w:jc w:val="center"/>
        </w:trPr>
        <w:tc>
          <w:tcPr>
            <w:tcW w:w="6541" w:type="dxa"/>
            <w:shd w:val="clear" w:color="auto" w:fill="FFFFFF" w:themeFill="background1"/>
            <w:vAlign w:val="center"/>
          </w:tcPr>
          <w:p w14:paraId="1A3816F8" w14:textId="77777777" w:rsidR="002B1DB7" w:rsidRDefault="002B1DB7"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74D5EB00" w14:textId="77777777" w:rsidR="002B1DB7" w:rsidRDefault="002B1DB7"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4DA56712" w14:textId="77777777" w:rsidR="002B1DB7" w:rsidRDefault="002B1DB7" w:rsidP="0079616B">
            <w:pPr>
              <w:widowControl w:val="0"/>
              <w:spacing w:after="0" w:line="240" w:lineRule="auto"/>
              <w:rPr>
                <w:rFonts w:eastAsia="Times New Roman" w:cs="Aparajita"/>
                <w:snapToGrid w:val="0"/>
              </w:rPr>
            </w:pPr>
          </w:p>
        </w:tc>
      </w:tr>
      <w:tr w:rsidR="0079616B" w:rsidRPr="00C85102" w14:paraId="4CA8B952" w14:textId="77777777" w:rsidTr="00C364C3">
        <w:trPr>
          <w:trHeight w:val="723"/>
          <w:jc w:val="center"/>
        </w:trPr>
        <w:tc>
          <w:tcPr>
            <w:tcW w:w="6541" w:type="dxa"/>
            <w:shd w:val="clear" w:color="auto" w:fill="FFFFFF" w:themeFill="background1"/>
            <w:vAlign w:val="center"/>
          </w:tcPr>
          <w:p w14:paraId="2AA31F39" w14:textId="77777777" w:rsidR="002B1DB7" w:rsidRDefault="002B1DB7"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4EF19CE8" w14:textId="77777777" w:rsidR="002B1DB7" w:rsidRDefault="002B1DB7"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261D49E6" w14:textId="77777777" w:rsidR="002B1DB7" w:rsidRDefault="002B1DB7" w:rsidP="0079616B">
            <w:pPr>
              <w:widowControl w:val="0"/>
              <w:spacing w:after="0" w:line="240" w:lineRule="auto"/>
              <w:rPr>
                <w:rFonts w:eastAsia="Times New Roman" w:cs="Aparajita"/>
                <w:snapToGrid w:val="0"/>
              </w:rPr>
            </w:pPr>
          </w:p>
        </w:tc>
      </w:tr>
      <w:tr w:rsidR="0079616B" w:rsidRPr="00C85102" w14:paraId="0FCA6EEF" w14:textId="77777777" w:rsidTr="00C364C3">
        <w:trPr>
          <w:trHeight w:val="723"/>
          <w:jc w:val="center"/>
        </w:trPr>
        <w:tc>
          <w:tcPr>
            <w:tcW w:w="6541" w:type="dxa"/>
            <w:shd w:val="clear" w:color="auto" w:fill="FFFFFF" w:themeFill="background1"/>
            <w:vAlign w:val="center"/>
          </w:tcPr>
          <w:p w14:paraId="7FDA648A" w14:textId="77777777" w:rsidR="002B1DB7" w:rsidRDefault="002B1DB7"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784FF598" w14:textId="77777777" w:rsidR="002B1DB7" w:rsidRDefault="002B1DB7"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2E8DC4FA" w14:textId="77777777" w:rsidR="002B1DB7" w:rsidRDefault="002B1DB7" w:rsidP="0079616B">
            <w:pPr>
              <w:widowControl w:val="0"/>
              <w:spacing w:after="0" w:line="240" w:lineRule="auto"/>
              <w:rPr>
                <w:rFonts w:eastAsia="Times New Roman" w:cs="Aparajita"/>
                <w:snapToGrid w:val="0"/>
              </w:rPr>
            </w:pPr>
          </w:p>
        </w:tc>
      </w:tr>
      <w:tr w:rsidR="0079616B" w:rsidRPr="00C85102" w14:paraId="3F76A2A9" w14:textId="77777777" w:rsidTr="00C364C3">
        <w:trPr>
          <w:trHeight w:val="686"/>
          <w:jc w:val="center"/>
        </w:trPr>
        <w:tc>
          <w:tcPr>
            <w:tcW w:w="6541" w:type="dxa"/>
            <w:shd w:val="clear" w:color="auto" w:fill="FFFFFF" w:themeFill="background1"/>
            <w:vAlign w:val="center"/>
          </w:tcPr>
          <w:p w14:paraId="640E7E92" w14:textId="77777777" w:rsidR="0079616B" w:rsidRDefault="0079616B"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1B1A8647" w14:textId="77777777" w:rsidR="0079616B" w:rsidRDefault="0079616B"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639E0019" w14:textId="77777777" w:rsidR="0079616B" w:rsidRDefault="0079616B" w:rsidP="0079616B">
            <w:pPr>
              <w:widowControl w:val="0"/>
              <w:spacing w:after="0" w:line="240" w:lineRule="auto"/>
              <w:rPr>
                <w:rFonts w:eastAsia="Times New Roman" w:cs="Aparajita"/>
                <w:snapToGrid w:val="0"/>
              </w:rPr>
            </w:pPr>
          </w:p>
        </w:tc>
      </w:tr>
      <w:tr w:rsidR="0079616B" w:rsidRPr="00C85102" w14:paraId="38DB797D" w14:textId="77777777" w:rsidTr="00C364C3">
        <w:trPr>
          <w:trHeight w:val="723"/>
          <w:jc w:val="center"/>
        </w:trPr>
        <w:tc>
          <w:tcPr>
            <w:tcW w:w="6541" w:type="dxa"/>
            <w:shd w:val="clear" w:color="auto" w:fill="FFFFFF" w:themeFill="background1"/>
            <w:vAlign w:val="center"/>
          </w:tcPr>
          <w:p w14:paraId="454B1698" w14:textId="77777777" w:rsidR="002B1DB7" w:rsidRDefault="002B1DB7"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6CAE9FF4" w14:textId="77777777" w:rsidR="002B1DB7" w:rsidRDefault="002B1DB7"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023B5293" w14:textId="77777777" w:rsidR="002B1DB7" w:rsidRDefault="002B1DB7" w:rsidP="0079616B">
            <w:pPr>
              <w:widowControl w:val="0"/>
              <w:spacing w:after="0" w:line="240" w:lineRule="auto"/>
              <w:rPr>
                <w:rFonts w:eastAsia="Times New Roman" w:cs="Aparajita"/>
                <w:snapToGrid w:val="0"/>
              </w:rPr>
            </w:pPr>
          </w:p>
        </w:tc>
      </w:tr>
      <w:tr w:rsidR="0079616B" w:rsidRPr="00C85102" w14:paraId="51936DBC" w14:textId="77777777" w:rsidTr="00C364C3">
        <w:trPr>
          <w:trHeight w:val="723"/>
          <w:jc w:val="center"/>
        </w:trPr>
        <w:tc>
          <w:tcPr>
            <w:tcW w:w="6541" w:type="dxa"/>
            <w:shd w:val="clear" w:color="auto" w:fill="FFFFFF" w:themeFill="background1"/>
            <w:vAlign w:val="center"/>
          </w:tcPr>
          <w:p w14:paraId="56D09112" w14:textId="77777777" w:rsidR="002B1DB7" w:rsidRDefault="002B1DB7" w:rsidP="0079616B">
            <w:pPr>
              <w:widowControl w:val="0"/>
              <w:spacing w:after="0" w:line="240" w:lineRule="auto"/>
              <w:rPr>
                <w:rFonts w:eastAsia="Times New Roman" w:cs="Aparajita"/>
                <w:snapToGrid w:val="0"/>
              </w:rPr>
            </w:pPr>
          </w:p>
        </w:tc>
        <w:tc>
          <w:tcPr>
            <w:tcW w:w="2429" w:type="dxa"/>
            <w:shd w:val="clear" w:color="auto" w:fill="FFFFFF" w:themeFill="background1"/>
            <w:vAlign w:val="center"/>
          </w:tcPr>
          <w:p w14:paraId="1A5A3629" w14:textId="77777777" w:rsidR="002B1DB7" w:rsidRDefault="002B1DB7" w:rsidP="0079616B">
            <w:pPr>
              <w:widowControl w:val="0"/>
              <w:spacing w:after="0" w:line="240" w:lineRule="auto"/>
              <w:rPr>
                <w:rFonts w:eastAsia="Times New Roman" w:cs="Aparajita"/>
                <w:snapToGrid w:val="0"/>
              </w:rPr>
            </w:pPr>
          </w:p>
        </w:tc>
        <w:tc>
          <w:tcPr>
            <w:tcW w:w="1401" w:type="dxa"/>
            <w:shd w:val="clear" w:color="auto" w:fill="FFFFFF" w:themeFill="background1"/>
            <w:vAlign w:val="center"/>
          </w:tcPr>
          <w:p w14:paraId="11DC7579" w14:textId="77777777" w:rsidR="002B1DB7" w:rsidRDefault="002B1DB7" w:rsidP="0079616B">
            <w:pPr>
              <w:widowControl w:val="0"/>
              <w:spacing w:after="0" w:line="240" w:lineRule="auto"/>
              <w:rPr>
                <w:rFonts w:eastAsia="Times New Roman" w:cs="Aparajita"/>
                <w:snapToGrid w:val="0"/>
              </w:rPr>
            </w:pPr>
          </w:p>
        </w:tc>
      </w:tr>
      <w:tr w:rsidR="0060252D" w:rsidRPr="00C85102" w14:paraId="48AF0106" w14:textId="77777777" w:rsidTr="00C364C3">
        <w:trPr>
          <w:trHeight w:val="434"/>
          <w:jc w:val="center"/>
        </w:trPr>
        <w:tc>
          <w:tcPr>
            <w:tcW w:w="10373" w:type="dxa"/>
            <w:gridSpan w:val="3"/>
            <w:shd w:val="clear" w:color="auto" w:fill="000E2F"/>
            <w:vAlign w:val="center"/>
          </w:tcPr>
          <w:p w14:paraId="1FE5A9C7"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7C2A2C13" w14:textId="77777777" w:rsidTr="00C364C3">
        <w:trPr>
          <w:trHeight w:val="434"/>
          <w:jc w:val="center"/>
        </w:trPr>
        <w:tc>
          <w:tcPr>
            <w:tcW w:w="10373" w:type="dxa"/>
            <w:gridSpan w:val="3"/>
            <w:shd w:val="clear" w:color="auto" w:fill="FFFFFF" w:themeFill="background1"/>
            <w:vAlign w:val="center"/>
          </w:tcPr>
          <w:p w14:paraId="7CC712D3"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79616B" w:rsidRPr="00113202" w14:paraId="0DCD4C54" w14:textId="77777777" w:rsidTr="00C364C3">
        <w:trPr>
          <w:trHeight w:val="831"/>
          <w:jc w:val="center"/>
        </w:trPr>
        <w:tc>
          <w:tcPr>
            <w:tcW w:w="8971" w:type="dxa"/>
            <w:gridSpan w:val="2"/>
            <w:shd w:val="clear" w:color="auto" w:fill="FFFFFF" w:themeFill="background1"/>
          </w:tcPr>
          <w:p w14:paraId="78E9C5D1"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401" w:type="dxa"/>
            <w:shd w:val="clear" w:color="auto" w:fill="FFFFFF" w:themeFill="background1"/>
          </w:tcPr>
          <w:p w14:paraId="3B56D8F0"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4E40418F" w14:textId="77777777" w:rsidTr="00C364C3">
        <w:trPr>
          <w:trHeight w:val="434"/>
          <w:jc w:val="center"/>
        </w:trPr>
        <w:tc>
          <w:tcPr>
            <w:tcW w:w="10373" w:type="dxa"/>
            <w:gridSpan w:val="3"/>
            <w:shd w:val="clear" w:color="auto" w:fill="000E2F"/>
            <w:vAlign w:val="center"/>
          </w:tcPr>
          <w:p w14:paraId="17F5DD87"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121FE9A9" w14:textId="77777777" w:rsidR="00A274E1" w:rsidRPr="002B1DB7" w:rsidRDefault="00A274E1" w:rsidP="0079616B">
      <w:pPr>
        <w:pStyle w:val="Heading1"/>
        <w:keepNext w:val="0"/>
        <w:keepLines w:val="0"/>
        <w:rPr>
          <w:rStyle w:val="A5"/>
          <w:rFonts w:cstheme="majorBidi"/>
          <w:color w:val="2E74B5" w:themeColor="accent1" w:themeShade="BF"/>
        </w:rPr>
      </w:pPr>
    </w:p>
    <w:sectPr w:rsidR="00A274E1" w:rsidRPr="002B1DB7" w:rsidSect="008F164B">
      <w:headerReference w:type="default" r:id="rId19"/>
      <w:footerReference w:type="default" r:id="rId20"/>
      <w:headerReference w:type="first" r:id="rId21"/>
      <w:footerReference w:type="first" r:id="rId22"/>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5159" w14:textId="77777777" w:rsidR="00E424D2" w:rsidRDefault="00E424D2" w:rsidP="00F47BA4">
      <w:pPr>
        <w:spacing w:after="0" w:line="240" w:lineRule="auto"/>
      </w:pPr>
      <w:r>
        <w:separator/>
      </w:r>
    </w:p>
  </w:endnote>
  <w:endnote w:type="continuationSeparator" w:id="0">
    <w:p w14:paraId="143B1FC7" w14:textId="77777777" w:rsidR="00E424D2" w:rsidRDefault="00E424D2"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57306CC4" w14:textId="77777777" w:rsidR="00461004" w:rsidRPr="0079616B" w:rsidRDefault="0079616B" w:rsidP="0079616B">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3B71BB">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3B71BB">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sdt>
            <w:sdtPr>
              <w:rPr>
                <w:sz w:val="20"/>
                <w:szCs w:val="20"/>
              </w:rPr>
              <w:id w:val="-763304070"/>
              <w:docPartObj>
                <w:docPartGallery w:val="Page Numbers (Top of Page)"/>
                <w:docPartUnique/>
              </w:docPartObj>
            </w:sdtPr>
            <w:sdtEndPr>
              <w:rPr>
                <w:sz w:val="22"/>
                <w:szCs w:val="22"/>
              </w:rPr>
            </w:sdtEndPr>
            <w:sdtContent>
              <w:sdt>
                <w:sdtPr>
                  <w:rPr>
                    <w:sz w:val="20"/>
                    <w:szCs w:val="20"/>
                  </w:rPr>
                  <w:id w:val="-1690982894"/>
                  <w:docPartObj>
                    <w:docPartGallery w:val="Page Numbers (Top of Page)"/>
                    <w:docPartUnique/>
                  </w:docPartObj>
                </w:sdtPr>
                <w:sdtEndPr/>
                <w:sdtContent>
                  <w:p w14:paraId="14DEF9AF" w14:textId="77777777" w:rsidR="00E14F85" w:rsidRPr="00AC441D" w:rsidRDefault="0079616B" w:rsidP="00E14F85">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3B71BB">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3B71BB">
                          <w:rPr>
                            <w:bCs/>
                            <w:noProof/>
                            <w:sz w:val="20"/>
                            <w:szCs w:val="20"/>
                          </w:rPr>
                          <w:t>4</w:t>
                        </w:r>
                        <w:r w:rsidRPr="009E38AC">
                          <w:rPr>
                            <w:bCs/>
                            <w:sz w:val="20"/>
                            <w:szCs w:val="20"/>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0ACC3" w14:textId="77777777" w:rsidR="00E424D2" w:rsidRDefault="00E424D2" w:rsidP="00F47BA4">
      <w:pPr>
        <w:spacing w:after="0" w:line="240" w:lineRule="auto"/>
      </w:pPr>
      <w:r>
        <w:separator/>
      </w:r>
    </w:p>
  </w:footnote>
  <w:footnote w:type="continuationSeparator" w:id="0">
    <w:p w14:paraId="44BABD36" w14:textId="77777777" w:rsidR="00E424D2" w:rsidRDefault="00E424D2"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6CB1"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C6F4" w14:textId="77777777" w:rsidR="00630E7B" w:rsidRPr="00630E7B" w:rsidRDefault="00630E7B" w:rsidP="008F164B">
    <w:pPr>
      <w:tabs>
        <w:tab w:val="center" w:pos="4680"/>
        <w:tab w:val="right" w:pos="9360"/>
      </w:tabs>
      <w:spacing w:after="0" w:line="240" w:lineRule="auto"/>
    </w:pPr>
    <w:r w:rsidRPr="00630E7B">
      <w:rPr>
        <w:noProof/>
      </w:rPr>
      <mc:AlternateContent>
        <mc:Choice Requires="wps">
          <w:drawing>
            <wp:anchor distT="0" distB="0" distL="114300" distR="114300" simplePos="0" relativeHeight="251659264" behindDoc="0" locked="0" layoutInCell="1" allowOverlap="1" wp14:anchorId="5E224C05" wp14:editId="64CB4264">
              <wp:simplePos x="0" y="0"/>
              <wp:positionH relativeFrom="column">
                <wp:posOffset>3344685</wp:posOffset>
              </wp:positionH>
              <wp:positionV relativeFrom="paragraph">
                <wp:posOffset>-66940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487F331A"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52D83D4B"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E224C05" id="_x0000_t202" coordsize="21600,21600" o:spt="202" path="m0,0l0,21600,21600,21600,21600,0xe">
              <v:stroke joinstyle="miter"/>
              <v:path gradientshapeok="t" o:connecttype="rect"/>
            </v:shapetype>
            <v:shape id="Text Box 6" o:spid="_x0000_s1026" type="#_x0000_t202" style="position:absolute;margin-left:263.35pt;margin-top:-5.2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" fillcolor="window" stroked="f" strokeweight=".5pt">
              <v:path arrowok="t"/>
              <v:textbox>
                <w:txbxContent>
                  <w:p w14:paraId="487F331A"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52D83D4B"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64BEE9B7" wp14:editId="0B190732">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p w14:paraId="2C4E3C9C" w14:textId="77777777" w:rsidR="004F7A77" w:rsidRPr="004F7A77" w:rsidRDefault="004F7A77" w:rsidP="00630E7B">
    <w:pPr>
      <w:tabs>
        <w:tab w:val="center" w:pos="4680"/>
        <w:tab w:val="right" w:pos="9360"/>
      </w:tabs>
      <w:spacing w:after="0" w:line="240" w:lineRule="auto"/>
      <w:ind w:left="-57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371F"/>
    <w:multiLevelType w:val="hybridMultilevel"/>
    <w:tmpl w:val="8D6C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93D3A"/>
    <w:multiLevelType w:val="hybridMultilevel"/>
    <w:tmpl w:val="2D1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3"/>
  </w:num>
  <w:num w:numId="6">
    <w:abstractNumId w:val="13"/>
  </w:num>
  <w:num w:numId="7">
    <w:abstractNumId w:val="5"/>
  </w:num>
  <w:num w:numId="8">
    <w:abstractNumId w:val="11"/>
  </w:num>
  <w:num w:numId="9">
    <w:abstractNumId w:val="4"/>
  </w:num>
  <w:num w:numId="10">
    <w:abstractNumId w:val="16"/>
  </w:num>
  <w:num w:numId="11">
    <w:abstractNumId w:val="1"/>
  </w:num>
  <w:num w:numId="12">
    <w:abstractNumId w:val="14"/>
  </w:num>
  <w:num w:numId="13">
    <w:abstractNumId w:val="15"/>
  </w:num>
  <w:num w:numId="14">
    <w:abstractNumId w:val="6"/>
  </w:num>
  <w:num w:numId="15">
    <w:abstractNumId w:val="8"/>
  </w:num>
  <w:num w:numId="16">
    <w:abstractNumId w:val="10"/>
  </w:num>
  <w:num w:numId="17">
    <w:abstractNumId w:val="0"/>
  </w:num>
  <w:num w:numId="18">
    <w:abstractNumId w:val="1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8F164B"/>
    <w:rsid w:val="0000125A"/>
    <w:rsid w:val="000045BC"/>
    <w:rsid w:val="00012B2D"/>
    <w:rsid w:val="00035807"/>
    <w:rsid w:val="000570F1"/>
    <w:rsid w:val="000630A4"/>
    <w:rsid w:val="00093F40"/>
    <w:rsid w:val="00102016"/>
    <w:rsid w:val="00105131"/>
    <w:rsid w:val="00113202"/>
    <w:rsid w:val="0011390D"/>
    <w:rsid w:val="001711BA"/>
    <w:rsid w:val="00174A02"/>
    <w:rsid w:val="00181E6C"/>
    <w:rsid w:val="00190254"/>
    <w:rsid w:val="001C59EE"/>
    <w:rsid w:val="00202ED1"/>
    <w:rsid w:val="002111F0"/>
    <w:rsid w:val="00230C36"/>
    <w:rsid w:val="00241FD1"/>
    <w:rsid w:val="002521BB"/>
    <w:rsid w:val="002561C3"/>
    <w:rsid w:val="002B1DB7"/>
    <w:rsid w:val="002C02A0"/>
    <w:rsid w:val="00302DE4"/>
    <w:rsid w:val="003603B7"/>
    <w:rsid w:val="00362737"/>
    <w:rsid w:val="00370010"/>
    <w:rsid w:val="00372EFD"/>
    <w:rsid w:val="00391962"/>
    <w:rsid w:val="00391A30"/>
    <w:rsid w:val="00395B54"/>
    <w:rsid w:val="003B71BB"/>
    <w:rsid w:val="003D78C0"/>
    <w:rsid w:val="004074D6"/>
    <w:rsid w:val="00417B69"/>
    <w:rsid w:val="00427210"/>
    <w:rsid w:val="00435013"/>
    <w:rsid w:val="00454B4E"/>
    <w:rsid w:val="00456C66"/>
    <w:rsid w:val="00461004"/>
    <w:rsid w:val="00463575"/>
    <w:rsid w:val="00466E18"/>
    <w:rsid w:val="00481C75"/>
    <w:rsid w:val="00482C81"/>
    <w:rsid w:val="004A0961"/>
    <w:rsid w:val="004D48FE"/>
    <w:rsid w:val="004D7938"/>
    <w:rsid w:val="004F7A77"/>
    <w:rsid w:val="00510912"/>
    <w:rsid w:val="00512C43"/>
    <w:rsid w:val="00517B30"/>
    <w:rsid w:val="00572E92"/>
    <w:rsid w:val="00595E1A"/>
    <w:rsid w:val="005A63AD"/>
    <w:rsid w:val="005A7FCC"/>
    <w:rsid w:val="005B4023"/>
    <w:rsid w:val="005B5F6D"/>
    <w:rsid w:val="0060252D"/>
    <w:rsid w:val="00607077"/>
    <w:rsid w:val="00630E7B"/>
    <w:rsid w:val="006405D4"/>
    <w:rsid w:val="00665470"/>
    <w:rsid w:val="006A7C58"/>
    <w:rsid w:val="006A7E07"/>
    <w:rsid w:val="006C54F2"/>
    <w:rsid w:val="00705A23"/>
    <w:rsid w:val="0079616B"/>
    <w:rsid w:val="007B71F9"/>
    <w:rsid w:val="007D4394"/>
    <w:rsid w:val="007E5EFC"/>
    <w:rsid w:val="00835F4A"/>
    <w:rsid w:val="00842745"/>
    <w:rsid w:val="008D5B83"/>
    <w:rsid w:val="008F164B"/>
    <w:rsid w:val="00903E9C"/>
    <w:rsid w:val="00925070"/>
    <w:rsid w:val="00954999"/>
    <w:rsid w:val="00983D3C"/>
    <w:rsid w:val="0098572B"/>
    <w:rsid w:val="009B3311"/>
    <w:rsid w:val="009C65C9"/>
    <w:rsid w:val="009F0B74"/>
    <w:rsid w:val="009F28F5"/>
    <w:rsid w:val="00A030D5"/>
    <w:rsid w:val="00A07683"/>
    <w:rsid w:val="00A12A39"/>
    <w:rsid w:val="00A17111"/>
    <w:rsid w:val="00A23588"/>
    <w:rsid w:val="00A274E1"/>
    <w:rsid w:val="00A31C67"/>
    <w:rsid w:val="00A4057F"/>
    <w:rsid w:val="00A522B6"/>
    <w:rsid w:val="00A5651A"/>
    <w:rsid w:val="00AC441D"/>
    <w:rsid w:val="00AE5261"/>
    <w:rsid w:val="00AF7AAF"/>
    <w:rsid w:val="00B25C2C"/>
    <w:rsid w:val="00B348D7"/>
    <w:rsid w:val="00B6033D"/>
    <w:rsid w:val="00B84A25"/>
    <w:rsid w:val="00BE7B97"/>
    <w:rsid w:val="00BF4C67"/>
    <w:rsid w:val="00C05B56"/>
    <w:rsid w:val="00C06577"/>
    <w:rsid w:val="00C364C3"/>
    <w:rsid w:val="00C37F40"/>
    <w:rsid w:val="00C67366"/>
    <w:rsid w:val="00C76674"/>
    <w:rsid w:val="00C85102"/>
    <w:rsid w:val="00C94DA5"/>
    <w:rsid w:val="00CB2D2B"/>
    <w:rsid w:val="00CB3CBF"/>
    <w:rsid w:val="00CB54B6"/>
    <w:rsid w:val="00CD38FE"/>
    <w:rsid w:val="00CE5449"/>
    <w:rsid w:val="00CE75EA"/>
    <w:rsid w:val="00D04011"/>
    <w:rsid w:val="00D13523"/>
    <w:rsid w:val="00D2620A"/>
    <w:rsid w:val="00D409EA"/>
    <w:rsid w:val="00D6154B"/>
    <w:rsid w:val="00D61BA2"/>
    <w:rsid w:val="00D61F7F"/>
    <w:rsid w:val="00D63B1D"/>
    <w:rsid w:val="00D74F73"/>
    <w:rsid w:val="00DE1A0D"/>
    <w:rsid w:val="00DE5088"/>
    <w:rsid w:val="00DF0237"/>
    <w:rsid w:val="00E14F85"/>
    <w:rsid w:val="00E424D2"/>
    <w:rsid w:val="00E4702C"/>
    <w:rsid w:val="00E51A8A"/>
    <w:rsid w:val="00EA36FA"/>
    <w:rsid w:val="00EE3506"/>
    <w:rsid w:val="00EF1869"/>
    <w:rsid w:val="00F412E4"/>
    <w:rsid w:val="00F47BA4"/>
    <w:rsid w:val="00F6708C"/>
    <w:rsid w:val="00F711C6"/>
    <w:rsid w:val="00F72EEE"/>
    <w:rsid w:val="00FD7F96"/>
    <w:rsid w:val="00FE4014"/>
    <w:rsid w:val="00FF66ED"/>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B6FDE"/>
  <w15:docId w15:val="{9F962A10-497C-AF45-8973-528A7B5E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character" w:styleId="Emphasis">
    <w:name w:val="Emphasis"/>
    <w:basedOn w:val="DefaultParagraphFont"/>
    <w:uiPriority w:val="20"/>
    <w:qFormat/>
    <w:rsid w:val="008F1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523831015">
      <w:bodyDiv w:val="1"/>
      <w:marLeft w:val="0"/>
      <w:marRight w:val="0"/>
      <w:marTop w:val="0"/>
      <w:marBottom w:val="0"/>
      <w:divBdr>
        <w:top w:val="none" w:sz="0" w:space="0" w:color="auto"/>
        <w:left w:val="none" w:sz="0" w:space="0" w:color="auto"/>
        <w:bottom w:val="none" w:sz="0" w:space="0" w:color="auto"/>
        <w:right w:val="none" w:sz="0" w:space="0" w:color="auto"/>
      </w:divBdr>
    </w:div>
    <w:div w:id="536504364">
      <w:bodyDiv w:val="1"/>
      <w:marLeft w:val="0"/>
      <w:marRight w:val="0"/>
      <w:marTop w:val="0"/>
      <w:marBottom w:val="0"/>
      <w:divBdr>
        <w:top w:val="none" w:sz="0" w:space="0" w:color="auto"/>
        <w:left w:val="none" w:sz="0" w:space="0" w:color="auto"/>
        <w:bottom w:val="none" w:sz="0" w:space="0" w:color="auto"/>
        <w:right w:val="none" w:sz="0" w:space="0" w:color="auto"/>
      </w:divBdr>
    </w:div>
    <w:div w:id="1000893795">
      <w:bodyDiv w:val="1"/>
      <w:marLeft w:val="0"/>
      <w:marRight w:val="0"/>
      <w:marTop w:val="0"/>
      <w:marBottom w:val="0"/>
      <w:divBdr>
        <w:top w:val="none" w:sz="0" w:space="0" w:color="auto"/>
        <w:left w:val="none" w:sz="0" w:space="0" w:color="auto"/>
        <w:bottom w:val="none" w:sz="0" w:space="0" w:color="auto"/>
        <w:right w:val="none" w:sz="0" w:space="0" w:color="auto"/>
      </w:divBdr>
    </w:div>
    <w:div w:id="1329942054">
      <w:bodyDiv w:val="1"/>
      <w:marLeft w:val="0"/>
      <w:marRight w:val="0"/>
      <w:marTop w:val="0"/>
      <w:marBottom w:val="0"/>
      <w:divBdr>
        <w:top w:val="none" w:sz="0" w:space="0" w:color="auto"/>
        <w:left w:val="none" w:sz="0" w:space="0" w:color="auto"/>
        <w:bottom w:val="none" w:sz="0" w:space="0" w:color="auto"/>
        <w:right w:val="none" w:sz="0" w:space="0" w:color="auto"/>
      </w:divBdr>
    </w:div>
    <w:div w:id="1866628824">
      <w:bodyDiv w:val="1"/>
      <w:marLeft w:val="0"/>
      <w:marRight w:val="0"/>
      <w:marTop w:val="0"/>
      <w:marBottom w:val="0"/>
      <w:divBdr>
        <w:top w:val="none" w:sz="0" w:space="0" w:color="auto"/>
        <w:left w:val="none" w:sz="0" w:space="0" w:color="auto"/>
        <w:bottom w:val="none" w:sz="0" w:space="0" w:color="auto"/>
        <w:right w:val="none" w:sz="0" w:space="0" w:color="auto"/>
      </w:divBdr>
    </w:div>
    <w:div w:id="2050714230">
      <w:bodyDiv w:val="1"/>
      <w:marLeft w:val="0"/>
      <w:marRight w:val="0"/>
      <w:marTop w:val="0"/>
      <w:marBottom w:val="0"/>
      <w:divBdr>
        <w:top w:val="none" w:sz="0" w:space="0" w:color="auto"/>
        <w:left w:val="none" w:sz="0" w:space="0" w:color="auto"/>
        <w:bottom w:val="none" w:sz="0" w:space="0" w:color="auto"/>
        <w:right w:val="none" w:sz="0" w:space="0" w:color="auto"/>
      </w:divBdr>
    </w:div>
    <w:div w:id="21094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8" Type="http://schemas.openxmlformats.org/officeDocument/2006/relationships/hyperlink" Target="http://policy.uconn.edu/2011/05/17/employee-code-of-conduc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olicy.uconn.edu/2012/07/30/working-alone-policy/" TargetMode="External"/><Relationship Id="rId17" Type="http://schemas.openxmlformats.org/officeDocument/2006/relationships/hyperlink" Target="http://policy.uconn.edu/2011/05/19/health-and-safety-policy/" TargetMode="External"/><Relationship Id="rId2" Type="http://schemas.openxmlformats.org/officeDocument/2006/relationships/numbering" Target="numbering.xml"/><Relationship Id="rId16" Type="http://schemas.openxmlformats.org/officeDocument/2006/relationships/hyperlink" Target="http://ehs.uconn.edu/Chemical/ChemWasteDis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hs.uconn.edu/Regulated%20Waste%20Management/index.php" TargetMode="External"/><Relationship Id="rId23" Type="http://schemas.openxmlformats.org/officeDocument/2006/relationships/fontTable" Target="fontTable.xml"/><Relationship Id="rId10" Type="http://schemas.openxmlformats.org/officeDocument/2006/relationships/hyperlink" Target="http://www.ehs.uconn.edu/Chemical/?p=train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1179-CA5D-E045-AEE8-93EE8E68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50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Brückner</dc:creator>
  <cp:keywords/>
  <dc:description/>
  <cp:lastModifiedBy>Christian Brückner</cp:lastModifiedBy>
  <cp:revision>6</cp:revision>
  <cp:lastPrinted>2017-11-27T16:39:00Z</cp:lastPrinted>
  <dcterms:created xsi:type="dcterms:W3CDTF">2017-11-24T05:54:00Z</dcterms:created>
  <dcterms:modified xsi:type="dcterms:W3CDTF">2018-04-18T00:23:00Z</dcterms:modified>
</cp:coreProperties>
</file>