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5423"/>
      </w:tblGrid>
      <w:tr w:rsidR="00C85102" w:rsidRPr="00C85102" w14:paraId="1119886D" w14:textId="77777777" w:rsidTr="00F55BFF">
        <w:trPr>
          <w:trHeight w:val="720"/>
          <w:jc w:val="center"/>
        </w:trPr>
        <w:tc>
          <w:tcPr>
            <w:tcW w:w="10800" w:type="dxa"/>
            <w:gridSpan w:val="2"/>
            <w:shd w:val="clear" w:color="auto" w:fill="10253F"/>
            <w:vAlign w:val="center"/>
          </w:tcPr>
          <w:p w14:paraId="62B5071B" w14:textId="55DE87B9" w:rsidR="00C85102" w:rsidRPr="00821F4E" w:rsidRDefault="00510912" w:rsidP="00F55BFF">
            <w:pPr>
              <w:widowControl w:val="0"/>
              <w:spacing w:before="80" w:after="80" w:line="240" w:lineRule="auto"/>
              <w:jc w:val="center"/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</w:pPr>
            <w:r w:rsidRPr="00821F4E">
              <w:rPr>
                <w:rFonts w:ascii="Aparajita" w:eastAsia="Times New Roman" w:hAnsi="Aparajita" w:cs="Aparajita"/>
                <w:b/>
                <w:snapToGrid w:val="0"/>
                <w:sz w:val="28"/>
                <w:szCs w:val="28"/>
              </w:rPr>
              <w:t xml:space="preserve">Brueckner </w:t>
            </w:r>
            <w:r w:rsidR="00C85102" w:rsidRPr="00821F4E">
              <w:rPr>
                <w:rFonts w:ascii="Aparajita" w:eastAsia="Times New Roman" w:hAnsi="Aparajita" w:cs="Aparajita"/>
                <w:b/>
                <w:snapToGrid w:val="0"/>
                <w:sz w:val="28"/>
                <w:szCs w:val="28"/>
              </w:rPr>
              <w:t xml:space="preserve">Lab-Specific </w:t>
            </w:r>
            <w:r w:rsidR="00C85102" w:rsidRPr="00821F4E">
              <w:rPr>
                <w:rFonts w:ascii="Aparajita" w:eastAsia="Times New Roman" w:hAnsi="Aparajita" w:cs="Aparajita"/>
                <w:b/>
                <w:snapToGrid w:val="0"/>
                <w:sz w:val="28"/>
                <w:szCs w:val="28"/>
              </w:rPr>
              <w:br w:type="page"/>
            </w:r>
            <w:r w:rsidR="00C85102" w:rsidRPr="00821F4E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 xml:space="preserve">Standard Operating Procedure </w:t>
            </w:r>
            <w:r w:rsidR="00AC441D" w:rsidRPr="00821F4E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>(LSOP)</w:t>
            </w:r>
            <w:r w:rsidR="00F55BFF" w:rsidRPr="00821F4E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>:</w:t>
            </w:r>
          </w:p>
          <w:p w14:paraId="337E5898" w14:textId="3176268E" w:rsidR="00F55BFF" w:rsidRPr="00C85102" w:rsidRDefault="00F55BFF" w:rsidP="00F55BFF">
            <w:pPr>
              <w:widowControl w:val="0"/>
              <w:spacing w:before="80" w:after="80" w:line="240" w:lineRule="auto"/>
              <w:jc w:val="center"/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</w:pPr>
            <w:r>
              <w:rPr>
                <w:rFonts w:eastAsia="Times New Roman" w:cs="Aparajita"/>
                <w:b/>
                <w:snapToGrid w:val="0"/>
                <w:sz w:val="28"/>
                <w:szCs w:val="28"/>
              </w:rPr>
              <w:t>Hydrogenation Metal Catalysts</w:t>
            </w:r>
          </w:p>
        </w:tc>
      </w:tr>
      <w:tr w:rsidR="00C85102" w:rsidRPr="00C85102" w14:paraId="050EF8EE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14:paraId="1B9382D5" w14:textId="77777777" w:rsidR="00C85102" w:rsidRPr="00C06577" w:rsidRDefault="00C85102" w:rsidP="00181E6C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Princ</w:t>
            </w:r>
            <w:r w:rsidR="00C06577" w:rsidRPr="004A0961">
              <w:rPr>
                <w:rFonts w:eastAsia="Times New Roman" w:cs="Aparajita"/>
                <w:b/>
                <w:snapToGrid w:val="0"/>
              </w:rPr>
              <w:t>ipal Investigator(PI)</w:t>
            </w:r>
            <w:r w:rsidRPr="004A0961">
              <w:rPr>
                <w:rFonts w:eastAsia="Times New Roman" w:cs="Aparajita"/>
                <w:b/>
                <w:snapToGrid w:val="0"/>
              </w:rPr>
              <w:t>:</w:t>
            </w:r>
            <w:r w:rsidR="00181E6C">
              <w:rPr>
                <w:rFonts w:eastAsia="Times New Roman" w:cs="Aparajita"/>
                <w:snapToGrid w:val="0"/>
              </w:rPr>
              <w:t xml:space="preserve"> Christian Brueckner</w:t>
            </w:r>
          </w:p>
        </w:tc>
      </w:tr>
      <w:tr w:rsidR="00C85102" w:rsidRPr="00C85102" w14:paraId="0CF9A6AA" w14:textId="77777777" w:rsidTr="00F55BFF">
        <w:trPr>
          <w:trHeight w:val="432"/>
          <w:jc w:val="center"/>
        </w:trPr>
        <w:tc>
          <w:tcPr>
            <w:tcW w:w="5377" w:type="dxa"/>
            <w:shd w:val="clear" w:color="auto" w:fill="FFFFFF" w:themeFill="background1"/>
            <w:vAlign w:val="center"/>
          </w:tcPr>
          <w:p w14:paraId="2A7063E1" w14:textId="77777777" w:rsidR="00C85102" w:rsidRPr="00C85102" w:rsidRDefault="00C851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Building:</w:t>
            </w:r>
            <w:r w:rsidR="00181E6C">
              <w:rPr>
                <w:rFonts w:eastAsia="Times New Roman" w:cs="Aparajita"/>
                <w:snapToGrid w:val="0"/>
              </w:rPr>
              <w:t xml:space="preserve"> Chemistry</w:t>
            </w:r>
          </w:p>
        </w:tc>
        <w:tc>
          <w:tcPr>
            <w:tcW w:w="5423" w:type="dxa"/>
            <w:shd w:val="clear" w:color="auto" w:fill="FFFFFF" w:themeFill="background1"/>
            <w:vAlign w:val="center"/>
          </w:tcPr>
          <w:p w14:paraId="34B48907" w14:textId="77777777" w:rsidR="00C85102" w:rsidRPr="00C85102" w:rsidRDefault="00C851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 xml:space="preserve">Lab(s) Covered by </w:t>
            </w:r>
            <w:r w:rsidR="00CD38FE" w:rsidRPr="004A0961">
              <w:rPr>
                <w:rFonts w:eastAsia="Times New Roman" w:cs="Aparajita"/>
                <w:b/>
                <w:snapToGrid w:val="0"/>
              </w:rPr>
              <w:t>L</w:t>
            </w:r>
            <w:r w:rsidRPr="004A0961">
              <w:rPr>
                <w:rFonts w:eastAsia="Times New Roman" w:cs="Aparajita"/>
                <w:b/>
                <w:snapToGrid w:val="0"/>
              </w:rPr>
              <w:t>SOP:</w:t>
            </w:r>
            <w:r w:rsidR="00181E6C">
              <w:rPr>
                <w:rFonts w:eastAsia="Times New Roman" w:cs="Aparajita"/>
                <w:snapToGrid w:val="0"/>
              </w:rPr>
              <w:t xml:space="preserve"> R413/R415</w:t>
            </w:r>
          </w:p>
        </w:tc>
      </w:tr>
      <w:tr w:rsidR="001711BA" w:rsidRPr="00C85102" w14:paraId="2EF067BE" w14:textId="77777777" w:rsidTr="00F55BFF">
        <w:trPr>
          <w:trHeight w:val="432"/>
          <w:jc w:val="center"/>
        </w:trPr>
        <w:tc>
          <w:tcPr>
            <w:tcW w:w="5377" w:type="dxa"/>
            <w:shd w:val="clear" w:color="auto" w:fill="FFFFFF" w:themeFill="background1"/>
            <w:vAlign w:val="center"/>
          </w:tcPr>
          <w:p w14:paraId="607B886B" w14:textId="77777777" w:rsidR="001711BA" w:rsidRPr="00C85102" w:rsidRDefault="001711BA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Department:</w:t>
            </w:r>
            <w:r w:rsidR="00181E6C">
              <w:rPr>
                <w:rFonts w:eastAsia="Times New Roman" w:cs="Aparajita"/>
                <w:snapToGrid w:val="0"/>
              </w:rPr>
              <w:t xml:space="preserve"> Chemistry</w:t>
            </w:r>
          </w:p>
        </w:tc>
        <w:tc>
          <w:tcPr>
            <w:tcW w:w="5423" w:type="dxa"/>
            <w:shd w:val="clear" w:color="auto" w:fill="FFFFFF" w:themeFill="background1"/>
            <w:vAlign w:val="center"/>
          </w:tcPr>
          <w:p w14:paraId="7E2D67B4" w14:textId="77777777" w:rsidR="001711BA" w:rsidRPr="00C85102" w:rsidRDefault="001711BA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Lab Phone Number(s):</w:t>
            </w:r>
            <w:r w:rsidR="00181E6C">
              <w:rPr>
                <w:rFonts w:eastAsia="Times New Roman" w:cs="Aparajita"/>
                <w:snapToGrid w:val="0"/>
              </w:rPr>
              <w:t xml:space="preserve"> 6-6596/6-6598</w:t>
            </w:r>
          </w:p>
        </w:tc>
      </w:tr>
      <w:tr w:rsidR="00842745" w:rsidRPr="00C85102" w14:paraId="63BF3C7E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000E2F"/>
            <w:vAlign w:val="center"/>
          </w:tcPr>
          <w:p w14:paraId="118984FB" w14:textId="77777777" w:rsidR="00842745" w:rsidRPr="00174A02" w:rsidRDefault="00EA36FA" w:rsidP="000570F1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SECTION 1 – </w:t>
            </w:r>
            <w:r w:rsidR="00174A02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HAZARDOUS CHEMICAL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(</w:t>
            </w:r>
            <w:r w:rsidR="00174A02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or PROCESS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(ES) and </w:t>
            </w:r>
            <w:r w:rsidR="000570F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HAZARDS INVOLVED</w:t>
            </w:r>
          </w:p>
        </w:tc>
      </w:tr>
      <w:tr w:rsidR="00842745" w:rsidRPr="00362737" w14:paraId="733FA886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14:paraId="525A74CC" w14:textId="5A55ED59" w:rsidR="004A0961" w:rsidRPr="00362737" w:rsidRDefault="00F55BFF" w:rsidP="00F55BFF">
            <w:pPr>
              <w:widowControl w:val="0"/>
              <w:spacing w:before="80" w:after="80" w:line="240" w:lineRule="auto"/>
            </w:pPr>
            <w:r w:rsidRPr="004D7DE1">
              <w:rPr>
                <w:b/>
              </w:rPr>
              <w:t>Ra</w:t>
            </w:r>
            <w:r w:rsidR="00C96278" w:rsidRPr="004D7DE1">
              <w:rPr>
                <w:b/>
              </w:rPr>
              <w:t xml:space="preserve">ney Ni, </w:t>
            </w:r>
            <w:proofErr w:type="spellStart"/>
            <w:r w:rsidR="00C96278" w:rsidRPr="004D7DE1">
              <w:rPr>
                <w:b/>
              </w:rPr>
              <w:t>Pd</w:t>
            </w:r>
            <w:proofErr w:type="spellEnd"/>
            <w:r w:rsidR="00C96278" w:rsidRPr="004D7DE1">
              <w:rPr>
                <w:b/>
              </w:rPr>
              <w:t>/C</w:t>
            </w:r>
            <w:r w:rsidR="004D7DE1">
              <w:rPr>
                <w:b/>
              </w:rPr>
              <w:t xml:space="preserve">: </w:t>
            </w:r>
            <w:r w:rsidR="001B37E5">
              <w:rPr>
                <w:rFonts w:ascii="Calibri" w:eastAsia="Times New Roman" w:hAnsi="Calibri" w:cs="Times New Roman"/>
              </w:rPr>
              <w:t>These catalysts are</w:t>
            </w:r>
            <w:r w:rsidR="00BF5985">
              <w:t xml:space="preserve"> p</w:t>
            </w:r>
            <w:r w:rsidR="00155ADB" w:rsidRPr="00155ADB">
              <w:t xml:space="preserve">yrophoric </w:t>
            </w:r>
            <w:r w:rsidR="00BF5985">
              <w:t>material</w:t>
            </w:r>
            <w:r w:rsidR="001B37E5">
              <w:t>s</w:t>
            </w:r>
            <w:r w:rsidR="00BF5985">
              <w:t xml:space="preserve"> and it </w:t>
            </w:r>
            <w:r w:rsidR="00BF5985" w:rsidRPr="00155ADB">
              <w:t>ignites</w:t>
            </w:r>
            <w:r w:rsidR="00155ADB" w:rsidRPr="00155ADB">
              <w:t xml:space="preserve"> spontaneously when exposed to air. They also tend to be associate</w:t>
            </w:r>
            <w:r w:rsidR="00155ADB">
              <w:t>d with flammable solvents. Also include common hazards such as</w:t>
            </w:r>
            <w:r w:rsidR="00155ADB" w:rsidRPr="00155ADB">
              <w:t xml:space="preserve"> </w:t>
            </w:r>
            <w:proofErr w:type="spellStart"/>
            <w:r w:rsidR="00155ADB" w:rsidRPr="00155ADB">
              <w:t>corrositivity</w:t>
            </w:r>
            <w:proofErr w:type="spellEnd"/>
            <w:r w:rsidR="00155ADB" w:rsidRPr="00155ADB">
              <w:t>, water reactivity, pe</w:t>
            </w:r>
            <w:r w:rsidR="001B37E5">
              <w:t>roxide formation, and toxicity.</w:t>
            </w:r>
            <w:r w:rsidR="00155ADB" w:rsidRPr="00155ADB">
              <w:t xml:space="preserve"> It can prove fatal if ingested or inhaled. Exposure can cause serious damage to lun</w:t>
            </w:r>
            <w:r w:rsidR="00960499">
              <w:t>gs and skin.</w:t>
            </w:r>
            <w:r w:rsidR="001B37E5">
              <w:t xml:space="preserve"> </w:t>
            </w:r>
            <w:r w:rsidR="00FA29C9">
              <w:t xml:space="preserve">Nickel can be a potent allergen. </w:t>
            </w:r>
            <w:r w:rsidR="001B37E5">
              <w:t xml:space="preserve">Target Organs: </w:t>
            </w:r>
            <w:r w:rsidR="00FA29C9">
              <w:t xml:space="preserve">Skin, </w:t>
            </w:r>
            <w:r w:rsidR="00686B12">
              <w:t>Kid</w:t>
            </w:r>
            <w:r w:rsidR="00686B12" w:rsidRPr="00155ADB">
              <w:t>ney</w:t>
            </w:r>
            <w:r w:rsidR="00155ADB" w:rsidRPr="00155ADB">
              <w:t xml:space="preserve">, Liver, </w:t>
            </w:r>
            <w:r w:rsidR="00E47E7D" w:rsidRPr="00155ADB">
              <w:t>and Lungs</w:t>
            </w:r>
            <w:r>
              <w:t>. K</w:t>
            </w:r>
            <w:r w:rsidR="00960499">
              <w:t>nown carcinogens.</w:t>
            </w:r>
          </w:p>
        </w:tc>
      </w:tr>
      <w:tr w:rsidR="00842745" w:rsidRPr="00C85102" w14:paraId="2F87A5F5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000E2F"/>
            <w:vAlign w:val="center"/>
          </w:tcPr>
          <w:p w14:paraId="6C310487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2 – ADMINISTRATIVE CONTROLS</w:t>
            </w:r>
          </w:p>
        </w:tc>
      </w:tr>
      <w:tr w:rsidR="00842745" w:rsidRPr="00362737" w14:paraId="30A41735" w14:textId="77777777" w:rsidTr="004D7DE1">
        <w:trPr>
          <w:trHeight w:val="3208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14:paraId="53C11200" w14:textId="77C41B89" w:rsidR="00F55BFF" w:rsidRDefault="00F55BFF" w:rsidP="00F55BFF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</w:pPr>
            <w:r>
              <w:t xml:space="preserve">Anyone using the chemicals and procedures described herein needs to have undergone the annual EH&amp;S </w:t>
            </w:r>
            <w:hyperlink r:id="rId8" w:history="1">
              <w:r w:rsidRPr="007815C3">
                <w:rPr>
                  <w:rStyle w:val="Hyperlink"/>
                </w:rPr>
                <w:t>Chemical Hygiene Training</w:t>
              </w:r>
            </w:hyperlink>
          </w:p>
          <w:p w14:paraId="30DC5B13" w14:textId="5B6F5D2A" w:rsidR="00F55BFF" w:rsidRDefault="00F55BFF" w:rsidP="00F55BFF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</w:pPr>
            <w:r>
              <w:t xml:space="preserve">Be aware of the </w:t>
            </w:r>
            <w:r w:rsidRPr="00362737">
              <w:t>applicable safety data sheets</w:t>
            </w:r>
            <w:r w:rsidR="00A718D0">
              <w:t xml:space="preserve"> (</w:t>
            </w:r>
            <w:r>
              <w:t xml:space="preserve">SDS): </w:t>
            </w:r>
            <w:hyperlink r:id="rId9" w:history="1">
              <w:r w:rsidRPr="009254A8">
                <w:rPr>
                  <w:rStyle w:val="Hyperlink"/>
                  <w:rFonts w:eastAsia="Times New Roman" w:cs="Aparajita"/>
                  <w:snapToGrid w:val="0"/>
                </w:rPr>
                <w:t>http://www.msds.com</w:t>
              </w:r>
            </w:hyperlink>
            <w:r w:rsidRPr="00F55BFF">
              <w:rPr>
                <w:rStyle w:val="Hyperlink"/>
                <w:rFonts w:eastAsia="Times New Roman" w:cs="Aparajita"/>
                <w:snapToGrid w:val="0"/>
                <w:u w:val="none"/>
              </w:rPr>
              <w:t xml:space="preserve"> </w:t>
            </w:r>
            <w:r>
              <w:t>(Raney Ni-</w:t>
            </w:r>
            <w:hyperlink r:id="rId10" w:history="1">
              <w:r w:rsidR="00F6512A">
                <w:rPr>
                  <w:rStyle w:val="Hyperlink"/>
                </w:rPr>
                <w:t>SDS</w:t>
              </w:r>
            </w:hyperlink>
            <w:r>
              <w:t xml:space="preserve">, </w:t>
            </w:r>
            <w:proofErr w:type="spellStart"/>
            <w:r>
              <w:t>Pd</w:t>
            </w:r>
            <w:proofErr w:type="spellEnd"/>
            <w:r>
              <w:t>/C-</w:t>
            </w:r>
            <w:hyperlink r:id="rId11" w:history="1">
              <w:r w:rsidR="00F6512A">
                <w:rPr>
                  <w:rStyle w:val="Hyperlink"/>
                </w:rPr>
                <w:t>SDS</w:t>
              </w:r>
            </w:hyperlink>
            <w:r>
              <w:t>)</w:t>
            </w:r>
            <w:r w:rsidR="004D7DE1">
              <w:t>.</w:t>
            </w:r>
          </w:p>
          <w:p w14:paraId="109EAFE9" w14:textId="74A790EA" w:rsidR="00F55BFF" w:rsidRPr="00B82B69" w:rsidRDefault="0058190D" w:rsidP="00F55BFF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  <w:rPr>
                <w:rFonts w:cs="Tahoma"/>
                <w:color w:val="000000"/>
                <w:shd w:val="clear" w:color="auto" w:fill="FFFFFF"/>
              </w:rPr>
            </w:pPr>
            <w:hyperlink r:id="rId12" w:history="1">
              <w:r w:rsidR="00F55BFF" w:rsidRPr="00362737">
                <w:rPr>
                  <w:rStyle w:val="Hyperlink"/>
                </w:rPr>
                <w:t>Working Alone</w:t>
              </w:r>
            </w:hyperlink>
            <w:r w:rsidR="00F55BFF" w:rsidRPr="00362737">
              <w:t xml:space="preserve"> </w:t>
            </w:r>
            <w:r w:rsidR="00F55BFF">
              <w:t>is not permitted when using chemicals or processes described in this LSOP</w:t>
            </w:r>
            <w:r w:rsidR="004D7DE1">
              <w:t>.</w:t>
            </w:r>
          </w:p>
          <w:p w14:paraId="32CF467A" w14:textId="5D1D1E95" w:rsidR="00F55BFF" w:rsidRDefault="00F55BFF" w:rsidP="00F55BFF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Any reaction flasks containing hydrogenation catalysts/hydrogen must be clearly labelled as such</w:t>
            </w:r>
            <w:r w:rsidRPr="00960499">
              <w:rPr>
                <w:rFonts w:eastAsia="Times New Roman" w:cs="Aparajita"/>
                <w:snapToGrid w:val="0"/>
              </w:rPr>
              <w:t xml:space="preserve"> with </w:t>
            </w:r>
            <w:r>
              <w:rPr>
                <w:rFonts w:eastAsia="Times New Roman" w:cs="Aparajita"/>
                <w:snapToGrid w:val="0"/>
              </w:rPr>
              <w:t>an a</w:t>
            </w:r>
            <w:r w:rsidRPr="00960499">
              <w:rPr>
                <w:rFonts w:eastAsia="Times New Roman" w:cs="Aparajita"/>
                <w:snapToGrid w:val="0"/>
              </w:rPr>
              <w:t xml:space="preserve">ppropriate warning </w:t>
            </w:r>
            <w:r>
              <w:rPr>
                <w:rFonts w:eastAsia="Times New Roman" w:cs="Aparajita"/>
                <w:snapToGrid w:val="0"/>
              </w:rPr>
              <w:t xml:space="preserve">sings </w:t>
            </w:r>
            <w:r w:rsidRPr="0022275C">
              <w:rPr>
                <w:rFonts w:eastAsia="Times New Roman" w:cs="Aparajita"/>
                <w:snapToGrid w:val="0"/>
              </w:rPr>
              <w:t>(</w:t>
            </w:r>
            <w:proofErr w:type="spellStart"/>
            <w:r w:rsidRPr="0022275C">
              <w:rPr>
                <w:rFonts w:eastAsia="Times New Roman" w:cs="Aparajita"/>
                <w:snapToGrid w:val="0"/>
              </w:rPr>
              <w:t>e.g</w:t>
            </w:r>
            <w:proofErr w:type="spellEnd"/>
            <w:r w:rsidRPr="0022275C">
              <w:rPr>
                <w:rFonts w:eastAsia="Times New Roman" w:cs="Aparajita"/>
                <w:snapToGrid w:val="0"/>
              </w:rPr>
              <w:t>, DANGER- Raney Nickel)</w:t>
            </w:r>
            <w:r>
              <w:rPr>
                <w:rFonts w:eastAsia="Times New Roman" w:cs="Aparajita"/>
                <w:snapToGrid w:val="0"/>
              </w:rPr>
              <w:t>.</w:t>
            </w:r>
          </w:p>
          <w:p w14:paraId="7EF97094" w14:textId="43B43D7C" w:rsidR="001409F1" w:rsidRPr="00F55BFF" w:rsidRDefault="00F55BFF" w:rsidP="00B52E2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Hydrogenations</w:t>
            </w:r>
            <w:r w:rsidRPr="007D7FC5">
              <w:rPr>
                <w:rFonts w:eastAsia="Times New Roman" w:cs="Aparajita"/>
                <w:snapToGrid w:val="0"/>
              </w:rPr>
              <w:t xml:space="preserve"> should be performed during normal business hours (i.e., 8:00 </w:t>
            </w:r>
            <w:r w:rsidR="004D7DE1">
              <w:rPr>
                <w:rFonts w:eastAsia="Times New Roman" w:cs="Aparajita"/>
                <w:snapToGrid w:val="0"/>
              </w:rPr>
              <w:t>am-5:00 pm Mo</w:t>
            </w:r>
            <w:r>
              <w:rPr>
                <w:rFonts w:eastAsia="Times New Roman" w:cs="Aparajita"/>
                <w:snapToGrid w:val="0"/>
              </w:rPr>
              <w:t>-Fri), if possible</w:t>
            </w:r>
            <w:r w:rsidR="004D7DE1">
              <w:rPr>
                <w:rFonts w:eastAsia="Times New Roman" w:cs="Aparajita"/>
                <w:snapToGrid w:val="0"/>
              </w:rPr>
              <w:t>.</w:t>
            </w:r>
          </w:p>
          <w:p w14:paraId="4260CF95" w14:textId="61DEDB1C" w:rsidR="000570F1" w:rsidRDefault="000570F1" w:rsidP="00B52E2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 xml:space="preserve">Anyone using the chemicals and procedures described herein need to be aware of the </w:t>
            </w:r>
            <w:r w:rsidR="004D7DE1">
              <w:t>applicable SDS</w:t>
            </w:r>
            <w:r w:rsidR="00960499">
              <w:t>.</w:t>
            </w:r>
          </w:p>
          <w:p w14:paraId="17085DAD" w14:textId="75689901" w:rsidR="004A0961" w:rsidRPr="00231E02" w:rsidRDefault="0058190D" w:rsidP="00B52E2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Tahoma"/>
                <w:color w:val="000000"/>
                <w:shd w:val="clear" w:color="auto" w:fill="FFFFFF"/>
              </w:rPr>
            </w:pPr>
            <w:hyperlink r:id="rId13" w:history="1">
              <w:r w:rsidR="00842745" w:rsidRPr="00362737">
                <w:rPr>
                  <w:rStyle w:val="Hyperlink"/>
                </w:rPr>
                <w:t>Working</w:t>
              </w:r>
              <w:r w:rsidR="00842745" w:rsidRPr="00362737">
                <w:rPr>
                  <w:rStyle w:val="Hyperlink"/>
                </w:rPr>
                <w:t xml:space="preserve"> </w:t>
              </w:r>
              <w:r w:rsidR="00842745" w:rsidRPr="00362737">
                <w:rPr>
                  <w:rStyle w:val="Hyperlink"/>
                </w:rPr>
                <w:t>Alone</w:t>
              </w:r>
            </w:hyperlink>
            <w:r w:rsidR="00842745" w:rsidRPr="00362737">
              <w:t xml:space="preserve"> </w:t>
            </w:r>
            <w:r w:rsidR="000570F1">
              <w:t>is not permitted when using chemicals or processes described in the LSOP.</w:t>
            </w:r>
          </w:p>
          <w:p w14:paraId="001494FB" w14:textId="196016C2" w:rsidR="00397C7C" w:rsidRPr="000B16A3" w:rsidRDefault="00397C7C" w:rsidP="000B16A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CE7607">
              <w:rPr>
                <w:rFonts w:cs="Arial"/>
              </w:rPr>
              <w:t>Keep away from sources of ignition and combustib</w:t>
            </w:r>
            <w:r w:rsidR="000B16A3">
              <w:rPr>
                <w:rFonts w:cs="Arial"/>
              </w:rPr>
              <w:t xml:space="preserve">le materials and </w:t>
            </w:r>
            <w:r w:rsidR="000B16A3">
              <w:rPr>
                <w:rFonts w:eastAsia="Times New Roman" w:cs="Aparajita"/>
                <w:snapToGrid w:val="0"/>
              </w:rPr>
              <w:t>r</w:t>
            </w:r>
            <w:r w:rsidRPr="000B16A3">
              <w:rPr>
                <w:rFonts w:eastAsia="Times New Roman" w:cs="Aparajita"/>
                <w:snapToGrid w:val="0"/>
              </w:rPr>
              <w:t>emove any excess clutter and any flammable so</w:t>
            </w:r>
            <w:r w:rsidR="000B16A3">
              <w:rPr>
                <w:rFonts w:eastAsia="Times New Roman" w:cs="Aparajita"/>
                <w:snapToGrid w:val="0"/>
              </w:rPr>
              <w:t xml:space="preserve">lvents that are not needed </w:t>
            </w:r>
            <w:r w:rsidRPr="000B16A3">
              <w:rPr>
                <w:rFonts w:eastAsia="Times New Roman" w:cs="Aparajita"/>
                <w:snapToGrid w:val="0"/>
              </w:rPr>
              <w:t xml:space="preserve">for the reaction. </w:t>
            </w:r>
          </w:p>
        </w:tc>
      </w:tr>
      <w:tr w:rsidR="00842745" w:rsidRPr="00C85102" w14:paraId="065AA87D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000E2F"/>
            <w:vAlign w:val="center"/>
          </w:tcPr>
          <w:p w14:paraId="221B24AC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3- ENGINEERING CONTROLS</w:t>
            </w:r>
          </w:p>
        </w:tc>
      </w:tr>
      <w:tr w:rsidR="00343259" w:rsidRPr="00362737" w14:paraId="63A50E51" w14:textId="77777777" w:rsidTr="00F55BFF">
        <w:trPr>
          <w:trHeight w:val="1606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14:paraId="580536B4" w14:textId="12CF0092" w:rsidR="00343259" w:rsidRPr="000B16A3" w:rsidRDefault="00343259" w:rsidP="00F55B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0B16A3">
              <w:rPr>
                <w:rFonts w:cs="Aparajita"/>
              </w:rPr>
              <w:t xml:space="preserve">All research </w:t>
            </w:r>
            <w:r w:rsidR="00F55BFF">
              <w:t xml:space="preserve">involving </w:t>
            </w:r>
            <w:r w:rsidR="00F55BFF">
              <w:rPr>
                <w:rFonts w:eastAsia="Times New Roman" w:cs="Aparajita"/>
                <w:snapToGrid w:val="0"/>
              </w:rPr>
              <w:t xml:space="preserve">hydrogenation catalysts </w:t>
            </w:r>
            <w:r w:rsidRPr="000B16A3">
              <w:rPr>
                <w:rFonts w:cs="Aparajita"/>
              </w:rPr>
              <w:t>must be conducted in a chemical fume hood, under dry conditions, with the sash at the lowest working height and with sliding sash panels (if applicable) aligned to form a barrier between the researcher and the experiment.</w:t>
            </w:r>
          </w:p>
          <w:p w14:paraId="5EFE7A42" w14:textId="0B420DB1" w:rsidR="00343259" w:rsidRPr="00F55BFF" w:rsidRDefault="00F55BFF" w:rsidP="00F55B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parajita"/>
                <w:snapToGrid w:val="0"/>
              </w:rPr>
            </w:pPr>
            <w:r>
              <w:t xml:space="preserve">Chemical fume hoods must have been tested by EHS within the last year. </w:t>
            </w:r>
            <w:r w:rsidRPr="008F521F">
              <w:rPr>
                <w:rFonts w:eastAsia="Times New Roman" w:cs="Aparajita"/>
                <w:snapToGrid w:val="0"/>
              </w:rPr>
              <w:t>If the hood is not working properly, contact Facilities (486-3113) to repair the hoo</w:t>
            </w:r>
            <w:r>
              <w:rPr>
                <w:rFonts w:eastAsia="Times New Roman" w:cs="Aparajita"/>
                <w:snapToGrid w:val="0"/>
              </w:rPr>
              <w:t>d or EH&amp;S to retest (486-3613)</w:t>
            </w:r>
            <w:r w:rsidR="00A718D0">
              <w:rPr>
                <w:rFonts w:eastAsia="Times New Roman" w:cs="Aparajita"/>
                <w:snapToGrid w:val="0"/>
              </w:rPr>
              <w:t>.</w:t>
            </w:r>
          </w:p>
        </w:tc>
      </w:tr>
      <w:tr w:rsidR="00343259" w:rsidRPr="00C85102" w14:paraId="3389FF29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000E2F"/>
            <w:vAlign w:val="center"/>
          </w:tcPr>
          <w:p w14:paraId="4E23192F" w14:textId="77777777" w:rsidR="00343259" w:rsidRPr="00174A02" w:rsidRDefault="00343259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4 – WORK PRACTICES</w:t>
            </w:r>
          </w:p>
        </w:tc>
      </w:tr>
      <w:tr w:rsidR="00343259" w:rsidRPr="00362737" w14:paraId="7DD9DB5C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14:paraId="34952C7F" w14:textId="66A4AF5A" w:rsidR="00F55BFF" w:rsidRDefault="00F55BFF" w:rsidP="00397C7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 aware of catalysts dusts – that might be pyrophoric, especially when in contact with hydrogen gas</w:t>
            </w:r>
          </w:p>
          <w:p w14:paraId="55137C07" w14:textId="1F2243A3" w:rsidR="00343259" w:rsidRPr="00CE7607" w:rsidRDefault="00343259" w:rsidP="00397C7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</w:rPr>
            </w:pPr>
            <w:r w:rsidRPr="00CE7607">
              <w:rPr>
                <w:rFonts w:cs="Arial"/>
              </w:rPr>
              <w:t>Design a quenching scheme for residual mat</w:t>
            </w:r>
            <w:r>
              <w:rPr>
                <w:rFonts w:cs="Arial"/>
              </w:rPr>
              <w:t>erials prior to using</w:t>
            </w:r>
            <w:r w:rsidRPr="00CE7607">
              <w:rPr>
                <w:rFonts w:cs="Arial"/>
              </w:rPr>
              <w:t xml:space="preserve"> materials. </w:t>
            </w:r>
          </w:p>
          <w:p w14:paraId="2FD7F5C1" w14:textId="77777777" w:rsidR="00343259" w:rsidRPr="00CE7607" w:rsidRDefault="00343259" w:rsidP="00397C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CE7607">
              <w:rPr>
                <w:rFonts w:cs="Arial"/>
              </w:rPr>
              <w:t>Design your experiment to use the least amount of material possible to achieve the desired result.</w:t>
            </w:r>
          </w:p>
          <w:p w14:paraId="0AFBAF47" w14:textId="77777777" w:rsidR="00343259" w:rsidRPr="00CE7607" w:rsidRDefault="00343259" w:rsidP="00397C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CE7607">
              <w:rPr>
                <w:rFonts w:cs="Arial"/>
              </w:rPr>
              <w:t>It is better to do multiple transfers of small volumes than attempt to handle larger quantities. Before transferring, make sure that the material is at room temperature.</w:t>
            </w:r>
          </w:p>
          <w:p w14:paraId="6DC3415C" w14:textId="77777777" w:rsidR="00343259" w:rsidRPr="00CE7607" w:rsidRDefault="00343259" w:rsidP="00397C7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</w:rPr>
            </w:pPr>
            <w:r w:rsidRPr="00CE7607">
              <w:rPr>
                <w:rFonts w:cs="Arial"/>
              </w:rPr>
              <w:t>Verify your experimental set-up and procedure prior to use.</w:t>
            </w:r>
          </w:p>
          <w:p w14:paraId="76AF632D" w14:textId="22DF90A6" w:rsidR="00343259" w:rsidRPr="00CE7607" w:rsidRDefault="00343259" w:rsidP="00397C7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</w:rPr>
            </w:pPr>
            <w:r w:rsidRPr="00CE7607">
              <w:rPr>
                <w:rFonts w:cs="Arial"/>
              </w:rPr>
              <w:t xml:space="preserve">Label the </w:t>
            </w:r>
            <w:r w:rsidR="00F55BFF">
              <w:rPr>
                <w:rFonts w:cs="Arial"/>
              </w:rPr>
              <w:t>reaction flask</w:t>
            </w:r>
            <w:r w:rsidRPr="00CE7607">
              <w:rPr>
                <w:rFonts w:cs="Arial"/>
              </w:rPr>
              <w:t xml:space="preserve"> with a sign saying "</w:t>
            </w:r>
            <w:proofErr w:type="spellStart"/>
            <w:r w:rsidRPr="00CE7607">
              <w:rPr>
                <w:rFonts w:cs="Arial"/>
              </w:rPr>
              <w:t>Pyrophorics</w:t>
            </w:r>
            <w:proofErr w:type="spellEnd"/>
            <w:r w:rsidRPr="00CE7607">
              <w:rPr>
                <w:rFonts w:cs="Arial"/>
              </w:rPr>
              <w:t xml:space="preserve"> In-Use Area".</w:t>
            </w:r>
          </w:p>
          <w:p w14:paraId="267CB60B" w14:textId="77777777" w:rsidR="00343259" w:rsidRDefault="00343259" w:rsidP="0063402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</w:rPr>
            </w:pPr>
            <w:r w:rsidRPr="00CE7607">
              <w:rPr>
                <w:rFonts w:cs="Arial"/>
              </w:rPr>
              <w:t>Ensure that the area is properly equipped with a properly functioning eye wash/safety shower within ten seconds of travel.</w:t>
            </w:r>
          </w:p>
          <w:p w14:paraId="59827BF2" w14:textId="19608CC1" w:rsidR="00F55BFF" w:rsidRPr="0063402F" w:rsidRDefault="00F55BFF" w:rsidP="0063402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</w:rPr>
            </w:pPr>
            <w:r w:rsidRPr="0091171A">
              <w:rPr>
                <w:rFonts w:eastAsia="Times New Roman" w:cs="Aparajita"/>
                <w:snapToGrid w:val="0"/>
              </w:rPr>
              <w:t xml:space="preserve">At the end of each </w:t>
            </w:r>
            <w:r>
              <w:rPr>
                <w:rFonts w:eastAsia="Times New Roman" w:cs="Aparajita"/>
                <w:snapToGrid w:val="0"/>
              </w:rPr>
              <w:t>experiment</w:t>
            </w:r>
            <w:r w:rsidRPr="0091171A">
              <w:rPr>
                <w:rFonts w:eastAsia="Times New Roman" w:cs="Aparajita"/>
                <w:snapToGrid w:val="0"/>
              </w:rPr>
              <w:t>, thoroughly inspect the area for residual reactive material.</w:t>
            </w:r>
          </w:p>
        </w:tc>
      </w:tr>
      <w:tr w:rsidR="00343259" w:rsidRPr="00C85102" w14:paraId="7AA27629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000E2F"/>
            <w:vAlign w:val="center"/>
          </w:tcPr>
          <w:p w14:paraId="29C16091" w14:textId="77777777" w:rsidR="00343259" w:rsidRPr="00174A02" w:rsidRDefault="00343259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SECTION 5 – PERSONAL PROTECTIVE EQUIPMENT (PPE)</w:t>
            </w:r>
          </w:p>
        </w:tc>
      </w:tr>
      <w:tr w:rsidR="00343259" w:rsidRPr="00362737" w14:paraId="27BB86A4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14:paraId="5B607BB2" w14:textId="77777777" w:rsidR="00F55BFF" w:rsidRPr="00526530" w:rsidRDefault="00F55BFF" w:rsidP="00F55BFF">
            <w:pPr>
              <w:pStyle w:val="ListParagraph"/>
              <w:widowControl w:val="0"/>
              <w:numPr>
                <w:ilvl w:val="0"/>
                <w:numId w:val="26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 xml:space="preserve">At a minimum, </w:t>
            </w:r>
            <w:r>
              <w:rPr>
                <w:rFonts w:eastAsia="Times New Roman" w:cs="Aparajita"/>
                <w:snapToGrid w:val="0"/>
              </w:rPr>
              <w:t>a lab coat, l</w:t>
            </w:r>
            <w:r w:rsidRPr="00526530">
              <w:rPr>
                <w:rFonts w:eastAsia="Times New Roman" w:cs="Aparajita"/>
                <w:snapToGrid w:val="0"/>
              </w:rPr>
              <w:t>ong pants</w:t>
            </w:r>
            <w:r>
              <w:rPr>
                <w:rFonts w:eastAsia="Times New Roman" w:cs="Aparajita"/>
                <w:snapToGrid w:val="0"/>
              </w:rPr>
              <w:t xml:space="preserve"> </w:t>
            </w:r>
            <w:r w:rsidRPr="00526530">
              <w:rPr>
                <w:rFonts w:eastAsia="Times New Roman" w:cs="Aparajita"/>
                <w:snapToGrid w:val="0"/>
              </w:rPr>
              <w:t>as well as</w:t>
            </w:r>
            <w:r>
              <w:rPr>
                <w:rFonts w:eastAsia="Times New Roman" w:cs="Aparajita"/>
                <w:snapToGrid w:val="0"/>
              </w:rPr>
              <w:t xml:space="preserve"> </w:t>
            </w:r>
            <w:r w:rsidRPr="00526530">
              <w:rPr>
                <w:rFonts w:eastAsia="Times New Roman" w:cs="Aparajita"/>
                <w:snapToGrid w:val="0"/>
              </w:rPr>
              <w:t>closed-toed footwear</w:t>
            </w:r>
            <w:r>
              <w:rPr>
                <w:rFonts w:eastAsia="Times New Roman" w:cs="Aparajita"/>
                <w:snapToGrid w:val="0"/>
              </w:rPr>
              <w:t xml:space="preserve"> and </w:t>
            </w:r>
            <w:r w:rsidRPr="00526530">
              <w:rPr>
                <w:rFonts w:eastAsia="Times New Roman" w:cs="Aparajita"/>
                <w:snapToGrid w:val="0"/>
              </w:rPr>
              <w:t xml:space="preserve">chemical safety glasses that meet American National Standards Institute (ANSI) standard Z-87.1 must be worn </w:t>
            </w:r>
            <w:r>
              <w:rPr>
                <w:rFonts w:eastAsia="Times New Roman" w:cs="Aparajita"/>
                <w:snapToGrid w:val="0"/>
              </w:rPr>
              <w:t>when handling OsO</w:t>
            </w:r>
            <w:r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</w:p>
          <w:p w14:paraId="0BF0961D" w14:textId="550ACE78" w:rsidR="00343259" w:rsidRPr="00F55BFF" w:rsidRDefault="00F55BFF" w:rsidP="00F55BFF">
            <w:pPr>
              <w:pStyle w:val="ListParagraph"/>
              <w:widowControl w:val="0"/>
              <w:numPr>
                <w:ilvl w:val="0"/>
                <w:numId w:val="26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>Nitrile Gloves</w:t>
            </w:r>
            <w:r>
              <w:rPr>
                <w:rFonts w:eastAsia="Times New Roman" w:cs="Aparajita"/>
                <w:snapToGrid w:val="0"/>
              </w:rPr>
              <w:t xml:space="preserve"> </w:t>
            </w:r>
            <w:r w:rsidRPr="00526530">
              <w:rPr>
                <w:rFonts w:eastAsia="Times New Roman" w:cs="Aparajita"/>
                <w:snapToGrid w:val="0"/>
              </w:rPr>
              <w:t xml:space="preserve">must be worn while handling </w:t>
            </w:r>
            <w:r>
              <w:rPr>
                <w:rFonts w:eastAsia="Times New Roman" w:cs="Aparajita"/>
                <w:snapToGrid w:val="0"/>
              </w:rPr>
              <w:t>the hydrogenation c</w:t>
            </w:r>
            <w:r w:rsidR="00FD4EFD">
              <w:rPr>
                <w:rFonts w:eastAsia="Times New Roman" w:cs="Aparajita"/>
                <w:snapToGrid w:val="0"/>
              </w:rPr>
              <w:t>a</w:t>
            </w:r>
            <w:r w:rsidR="004D7DE1">
              <w:rPr>
                <w:rFonts w:eastAsia="Times New Roman" w:cs="Aparajita"/>
                <w:snapToGrid w:val="0"/>
              </w:rPr>
              <w:t>tal</w:t>
            </w:r>
            <w:r>
              <w:rPr>
                <w:rFonts w:eastAsia="Times New Roman" w:cs="Aparajita"/>
                <w:snapToGrid w:val="0"/>
              </w:rPr>
              <w:t>ysts</w:t>
            </w:r>
          </w:p>
        </w:tc>
      </w:tr>
      <w:tr w:rsidR="00343259" w:rsidRPr="00C85102" w14:paraId="21D48327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000E2F"/>
            <w:vAlign w:val="center"/>
          </w:tcPr>
          <w:p w14:paraId="60290C94" w14:textId="77777777" w:rsidR="00343259" w:rsidRPr="0091171A" w:rsidRDefault="00343259" w:rsidP="00C76674">
            <w:pPr>
              <w:pStyle w:val="Heading1"/>
              <w:spacing w:before="80" w:after="80"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 w:rsidRPr="00C013D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6 – STORAGE</w:t>
            </w:r>
          </w:p>
        </w:tc>
      </w:tr>
      <w:tr w:rsidR="00343259" w:rsidRPr="00362737" w14:paraId="6491548A" w14:textId="77777777" w:rsidTr="00FA29C9">
        <w:trPr>
          <w:trHeight w:val="2389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14:paraId="109B26FA" w14:textId="1D9628B9" w:rsidR="00343259" w:rsidRDefault="00FA29C9" w:rsidP="009117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proofErr w:type="spellStart"/>
            <w:r>
              <w:rPr>
                <w:rFonts w:eastAsia="Times New Roman" w:cs="Aparajita"/>
                <w:snapToGrid w:val="0"/>
              </w:rPr>
              <w:t>Pd</w:t>
            </w:r>
            <w:proofErr w:type="spellEnd"/>
            <w:r>
              <w:rPr>
                <w:rFonts w:eastAsia="Times New Roman" w:cs="Aparajita"/>
                <w:snapToGrid w:val="0"/>
              </w:rPr>
              <w:t xml:space="preserve">/C </w:t>
            </w:r>
            <w:r w:rsidR="00343259" w:rsidRPr="0091171A">
              <w:rPr>
                <w:rFonts w:eastAsia="Times New Roman" w:cs="Aparajita"/>
                <w:snapToGrid w:val="0"/>
              </w:rPr>
              <w:t>Store</w:t>
            </w:r>
            <w:r>
              <w:rPr>
                <w:rFonts w:eastAsia="Times New Roman" w:cs="Aparajita"/>
                <w:snapToGrid w:val="0"/>
              </w:rPr>
              <w:t xml:space="preserve"> </w:t>
            </w:r>
            <w:r w:rsidR="00343259" w:rsidRPr="0091171A">
              <w:rPr>
                <w:rFonts w:eastAsia="Times New Roman" w:cs="Aparajita"/>
                <w:snapToGrid w:val="0"/>
              </w:rPr>
              <w:t>in a dry place</w:t>
            </w:r>
            <w:r>
              <w:rPr>
                <w:rFonts w:eastAsia="Times New Roman" w:cs="Aparajita"/>
                <w:snapToGrid w:val="0"/>
              </w:rPr>
              <w:t xml:space="preserve"> (locked filing cabinet with the precious metal catalysts in R415)</w:t>
            </w:r>
            <w:r w:rsidR="00343259" w:rsidRPr="0091171A">
              <w:rPr>
                <w:rFonts w:eastAsia="Times New Roman" w:cs="Aparajita"/>
                <w:snapToGrid w:val="0"/>
              </w:rPr>
              <w:t xml:space="preserve">. Keep cool and protect from sunlight and humid air/moisture. </w:t>
            </w:r>
            <w:r w:rsidRPr="0091171A">
              <w:rPr>
                <w:rFonts w:eastAsia="Times New Roman" w:cs="Aparajita"/>
                <w:snapToGrid w:val="0"/>
              </w:rPr>
              <w:t>Whenever possible, store in a desiccator. Otherwise, store inside a container with an inert atmosphere</w:t>
            </w:r>
            <w:r>
              <w:rPr>
                <w:rFonts w:eastAsia="Times New Roman" w:cs="Aparajita"/>
                <w:snapToGrid w:val="0"/>
              </w:rPr>
              <w:t xml:space="preserve"> </w:t>
            </w:r>
            <w:r w:rsidRPr="0091171A">
              <w:rPr>
                <w:rFonts w:eastAsia="Times New Roman" w:cs="Aparajita"/>
                <w:snapToGrid w:val="0"/>
              </w:rPr>
              <w:t>(</w:t>
            </w:r>
            <w:r>
              <w:rPr>
                <w:rFonts w:eastAsia="Times New Roman" w:cs="Aparajita"/>
                <w:snapToGrid w:val="0"/>
              </w:rPr>
              <w:t>Nitrogen, Argon etc.)</w:t>
            </w:r>
            <w:r w:rsidRPr="0091171A">
              <w:rPr>
                <w:rFonts w:eastAsia="Times New Roman" w:cs="Aparajita"/>
                <w:snapToGrid w:val="0"/>
              </w:rPr>
              <w:t>.</w:t>
            </w:r>
          </w:p>
          <w:p w14:paraId="1460CC76" w14:textId="24B00C19" w:rsidR="00FA29C9" w:rsidRPr="0091171A" w:rsidRDefault="00FA29C9" w:rsidP="009117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Raney-Ni comes as an aqueous slurry that is either kept in the inorganics shelf in R415 or in the fridge</w:t>
            </w:r>
          </w:p>
          <w:p w14:paraId="44D6BDC0" w14:textId="58C82C4B" w:rsidR="00343259" w:rsidRPr="0091171A" w:rsidRDefault="00343259" w:rsidP="00397C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91171A">
              <w:rPr>
                <w:rFonts w:eastAsia="Times New Roman" w:cs="Aparajita"/>
                <w:snapToGrid w:val="0"/>
              </w:rPr>
              <w:t>Keep container tightly closed</w:t>
            </w:r>
            <w:r w:rsidR="00FA29C9">
              <w:rPr>
                <w:rFonts w:eastAsia="Times New Roman" w:cs="Aparajita"/>
                <w:snapToGrid w:val="0"/>
              </w:rPr>
              <w:t xml:space="preserve"> when not in use</w:t>
            </w:r>
            <w:r w:rsidRPr="0091171A">
              <w:rPr>
                <w:rFonts w:eastAsia="Times New Roman" w:cs="Aparajita"/>
                <w:snapToGrid w:val="0"/>
              </w:rPr>
              <w:t>.</w:t>
            </w:r>
          </w:p>
          <w:p w14:paraId="125815EF" w14:textId="77777777" w:rsidR="00FA29C9" w:rsidRDefault="00343259" w:rsidP="009117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91171A">
              <w:rPr>
                <w:rFonts w:eastAsia="Times New Roman" w:cs="Aparajita"/>
                <w:snapToGrid w:val="0"/>
              </w:rPr>
              <w:t xml:space="preserve">Minimize dust generation and accumulation. </w:t>
            </w:r>
          </w:p>
          <w:p w14:paraId="70B82C88" w14:textId="431AABF6" w:rsidR="00343259" w:rsidRPr="00FA29C9" w:rsidRDefault="004D7DE1" w:rsidP="00FA29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Container must be </w:t>
            </w:r>
            <w:r w:rsidR="00343259" w:rsidRPr="0091171A">
              <w:rPr>
                <w:rFonts w:eastAsia="Times New Roman" w:cs="Aparajita"/>
                <w:snapToGrid w:val="0"/>
              </w:rPr>
              <w:t>labeled with the chemical name and hazard communication label contain hazard classes.</w:t>
            </w:r>
          </w:p>
        </w:tc>
      </w:tr>
      <w:tr w:rsidR="00343259" w:rsidRPr="00C85102" w14:paraId="6234EB54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000E2F"/>
            <w:vAlign w:val="center"/>
          </w:tcPr>
          <w:p w14:paraId="36652B25" w14:textId="77777777" w:rsidR="00343259" w:rsidRPr="00174A02" w:rsidRDefault="00343259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7 – SPILL AND ACCIDENT PROCEDURES</w:t>
            </w:r>
          </w:p>
        </w:tc>
      </w:tr>
      <w:tr w:rsidR="00343259" w:rsidRPr="00362737" w14:paraId="3DBE53D1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14:paraId="547185CB" w14:textId="638B7F19" w:rsidR="00343259" w:rsidRDefault="00FA29C9" w:rsidP="00565DB1">
            <w:pPr>
              <w:pStyle w:val="ListParagraph"/>
              <w:widowControl w:val="0"/>
              <w:numPr>
                <w:ilvl w:val="0"/>
                <w:numId w:val="11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When either of the catalysts is spilled, cover with sand or vermiculite and sweep up, avoiding the generation of dusts</w:t>
            </w:r>
          </w:p>
          <w:p w14:paraId="7997D5B1" w14:textId="53669FB5" w:rsidR="00FA29C9" w:rsidRPr="0063402F" w:rsidRDefault="00FA29C9" w:rsidP="00565DB1">
            <w:pPr>
              <w:pStyle w:val="ListParagraph"/>
              <w:widowControl w:val="0"/>
              <w:numPr>
                <w:ilvl w:val="0"/>
                <w:numId w:val="11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Dispose of in the solid waste cans</w:t>
            </w:r>
          </w:p>
          <w:p w14:paraId="0BE336CD" w14:textId="77777777" w:rsidR="00343259" w:rsidRDefault="00343259" w:rsidP="00FA29C9">
            <w:pPr>
              <w:pStyle w:val="ListParagraph"/>
              <w:widowControl w:val="0"/>
              <w:numPr>
                <w:ilvl w:val="0"/>
                <w:numId w:val="11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If a small fire occurs, do not panic</w:t>
            </w:r>
            <w:r w:rsidRPr="0063402F">
              <w:rPr>
                <w:rFonts w:eastAsia="Times New Roman" w:cs="Aparajita"/>
                <w:snapToGrid w:val="0"/>
              </w:rPr>
              <w:t>, but simply cover the flask or funnel in which there is a fire with a watch glass and it will go out. Have a suitable sized watch glass on hand.</w:t>
            </w:r>
          </w:p>
          <w:p w14:paraId="2334DAE5" w14:textId="26BA0382" w:rsidR="00FA29C9" w:rsidRPr="00FA29C9" w:rsidRDefault="00FA29C9" w:rsidP="00FA29C9">
            <w:pPr>
              <w:widowControl w:val="0"/>
              <w:spacing w:before="80" w:after="80" w:line="240" w:lineRule="auto"/>
              <w:ind w:left="360"/>
              <w:rPr>
                <w:rFonts w:eastAsia="Times New Roman" w:cs="Aparajita"/>
                <w:snapToGrid w:val="0"/>
              </w:rPr>
            </w:pPr>
            <w:r w:rsidRPr="00FA29C9">
              <w:rPr>
                <w:rFonts w:eastAsia="Times New Roman" w:cs="Aparajita"/>
                <w:b/>
                <w:snapToGrid w:val="0"/>
              </w:rPr>
              <w:t xml:space="preserve">Report any incident to the PI </w:t>
            </w:r>
            <w:r w:rsidRPr="00FA29C9">
              <w:rPr>
                <w:rFonts w:eastAsia="Times New Roman" w:cs="Aparajita"/>
                <w:b/>
                <w:snapToGrid w:val="0"/>
                <w:u w:val="single"/>
              </w:rPr>
              <w:t>and</w:t>
            </w:r>
            <w:r w:rsidRPr="00FA29C9">
              <w:rPr>
                <w:rFonts w:eastAsia="Times New Roman" w:cs="Aparajita"/>
                <w:b/>
                <w:snapToGrid w:val="0"/>
              </w:rPr>
              <w:t xml:space="preserve"> fill out the </w:t>
            </w:r>
            <w:hyperlink r:id="rId14" w:history="1">
              <w:r w:rsidRPr="00FA29C9">
                <w:rPr>
                  <w:rStyle w:val="Hyperlink"/>
                  <w:rFonts w:eastAsia="Times New Roman" w:cs="Aparajita"/>
                  <w:b/>
                  <w:snapToGrid w:val="0"/>
                </w:rPr>
                <w:t>accident form</w:t>
              </w:r>
            </w:hyperlink>
          </w:p>
        </w:tc>
      </w:tr>
      <w:tr w:rsidR="00343259" w:rsidRPr="00C85102" w14:paraId="701D9F9A" w14:textId="77777777" w:rsidTr="00F55BFF">
        <w:trPr>
          <w:trHeight w:val="432"/>
          <w:jc w:val="center"/>
        </w:trPr>
        <w:tc>
          <w:tcPr>
            <w:tcW w:w="10800" w:type="dxa"/>
            <w:gridSpan w:val="2"/>
            <w:shd w:val="clear" w:color="auto" w:fill="000E2F"/>
            <w:vAlign w:val="center"/>
          </w:tcPr>
          <w:p w14:paraId="49A23D7C" w14:textId="77777777" w:rsidR="00343259" w:rsidRPr="00174A02" w:rsidRDefault="00343259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8 – FIRST AID PROCEDURES</w:t>
            </w:r>
          </w:p>
        </w:tc>
      </w:tr>
      <w:tr w:rsidR="00FA29C9" w:rsidRPr="00362737" w14:paraId="55E4FFEB" w14:textId="77777777" w:rsidTr="00A718D0">
        <w:trPr>
          <w:trHeight w:val="890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14:paraId="0F5C1BAE" w14:textId="77777777" w:rsidR="00FA29C9" w:rsidRPr="002252D8" w:rsidRDefault="00FA29C9" w:rsidP="00470889">
            <w:pPr>
              <w:widowControl w:val="0"/>
              <w:spacing w:after="0" w:line="240" w:lineRule="auto"/>
              <w:rPr>
                <w:rFonts w:eastAsia="Times New Roman" w:cs="Aparajita"/>
                <w:i/>
                <w:snapToGrid w:val="0"/>
              </w:rPr>
            </w:pPr>
            <w:r w:rsidRPr="002252D8">
              <w:rPr>
                <w:rFonts w:eastAsia="Times New Roman" w:cs="Aparajita"/>
                <w:i/>
                <w:snapToGrid w:val="0"/>
              </w:rPr>
              <w:t>Eyes</w:t>
            </w:r>
          </w:p>
          <w:p w14:paraId="5B9EA0B3" w14:textId="77777777" w:rsidR="00FA29C9" w:rsidRPr="000303F6" w:rsidRDefault="00FA29C9" w:rsidP="00FA29C9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FA1BC6">
              <w:rPr>
                <w:rFonts w:eastAsia="Times New Roman" w:cs="Aparajita"/>
                <w:snapToGrid w:val="0"/>
                <w:shd w:val="clear" w:color="auto" w:fill="FFFFFF"/>
              </w:rPr>
              <w:t>Immediately</w:t>
            </w:r>
            <w:r>
              <w:rPr>
                <w:rFonts w:eastAsia="Times New Roman" w:cs="Aparajita"/>
                <w:snapToGrid w:val="0"/>
                <w:shd w:val="clear" w:color="auto" w:fill="FFFFFF"/>
              </w:rPr>
              <w:t xml:space="preserve"> move to the eyewash station, hold eyelids open and flush </w:t>
            </w:r>
            <w:r>
              <w:rPr>
                <w:rFonts w:eastAsia="Times New Roman" w:cs="Aparajita"/>
                <w:snapToGrid w:val="0"/>
              </w:rPr>
              <w:t xml:space="preserve">with water. </w:t>
            </w:r>
            <w:r w:rsidRPr="000303F6">
              <w:rPr>
                <w:rFonts w:eastAsia="Times New Roman" w:cs="Aparajita"/>
                <w:snapToGrid w:val="0"/>
              </w:rPr>
              <w:t xml:space="preserve">Remove contact lenses </w:t>
            </w:r>
            <w:r>
              <w:rPr>
                <w:rFonts w:eastAsia="Times New Roman" w:cs="Aparajita"/>
                <w:snapToGrid w:val="0"/>
              </w:rPr>
              <w:t xml:space="preserve">while flushing </w:t>
            </w:r>
            <w:r w:rsidRPr="000303F6">
              <w:rPr>
                <w:rFonts w:eastAsia="Times New Roman" w:cs="Aparajita"/>
                <w:snapToGrid w:val="0"/>
              </w:rPr>
              <w:t>(if applicable)</w:t>
            </w:r>
          </w:p>
          <w:p w14:paraId="6F87DF99" w14:textId="44107FF1" w:rsidR="00FA29C9" w:rsidRPr="000303F6" w:rsidRDefault="00FA29C9" w:rsidP="00FA29C9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Have another person from the lab dial </w:t>
            </w:r>
            <w:r w:rsidRPr="000303F6">
              <w:rPr>
                <w:rFonts w:eastAsia="Times New Roman" w:cs="Aparajita"/>
                <w:b/>
                <w:snapToGrid w:val="0"/>
              </w:rPr>
              <w:t>911</w:t>
            </w:r>
            <w:r>
              <w:rPr>
                <w:rFonts w:eastAsia="Times New Roman" w:cs="Aparajita"/>
                <w:b/>
                <w:snapToGrid w:val="0"/>
              </w:rPr>
              <w:t xml:space="preserve"> </w:t>
            </w:r>
            <w:r>
              <w:rPr>
                <w:rFonts w:eastAsia="Times New Roman" w:cs="Aparajita"/>
                <w:snapToGrid w:val="0"/>
              </w:rPr>
              <w:t>and specifically mention specific exposure</w:t>
            </w:r>
          </w:p>
          <w:p w14:paraId="4A99D1FD" w14:textId="388FA512" w:rsidR="00FA29C9" w:rsidRPr="00A529E8" w:rsidRDefault="00FA29C9" w:rsidP="00FA29C9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Continue flushing the eyes </w:t>
            </w:r>
            <w:r w:rsidRPr="00A529E8">
              <w:rPr>
                <w:rFonts w:eastAsia="Times New Roman" w:cs="Aparajita"/>
                <w:snapToGrid w:val="0"/>
              </w:rPr>
              <w:t>u</w:t>
            </w:r>
            <w:r>
              <w:rPr>
                <w:rFonts w:eastAsia="Times New Roman" w:cs="Aparajita"/>
                <w:snapToGrid w:val="0"/>
              </w:rPr>
              <w:t>ntil emergency personnel arrive</w:t>
            </w:r>
          </w:p>
          <w:p w14:paraId="0A19B5D9" w14:textId="77777777" w:rsidR="00FA29C9" w:rsidRPr="002252D8" w:rsidRDefault="00FA29C9" w:rsidP="00470889">
            <w:pPr>
              <w:widowControl w:val="0"/>
              <w:spacing w:after="0" w:line="240" w:lineRule="auto"/>
              <w:rPr>
                <w:rFonts w:eastAsia="Times New Roman" w:cs="Aparajita"/>
                <w:i/>
                <w:snapToGrid w:val="0"/>
              </w:rPr>
            </w:pPr>
            <w:r w:rsidRPr="002252D8">
              <w:rPr>
                <w:rFonts w:eastAsia="Times New Roman" w:cs="Aparajita"/>
                <w:i/>
                <w:snapToGrid w:val="0"/>
              </w:rPr>
              <w:t>Skin</w:t>
            </w:r>
          </w:p>
          <w:p w14:paraId="1761FEA1" w14:textId="4EC9A7EB" w:rsidR="00FA29C9" w:rsidRPr="00A529E8" w:rsidRDefault="00FA29C9" w:rsidP="00FA29C9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FA1BC6">
              <w:rPr>
                <w:rFonts w:eastAsia="Times New Roman" w:cs="Aparajita"/>
                <w:snapToGrid w:val="0"/>
                <w:shd w:val="clear" w:color="auto" w:fill="FFFFFF"/>
              </w:rPr>
              <w:t xml:space="preserve">Immediately </w:t>
            </w:r>
            <w:r>
              <w:rPr>
                <w:rFonts w:eastAsia="Times New Roman" w:cs="Aparajita"/>
                <w:snapToGrid w:val="0"/>
              </w:rPr>
              <w:t xml:space="preserve">move to safety shower or other water source and begin rinsing affected area(s). </w:t>
            </w:r>
            <w:r w:rsidRPr="00A529E8">
              <w:rPr>
                <w:rFonts w:eastAsia="Times New Roman" w:cs="Aparajita"/>
                <w:snapToGrid w:val="0"/>
              </w:rPr>
              <w:t>Remove contaminated clothing (if applicable)</w:t>
            </w:r>
            <w:r>
              <w:rPr>
                <w:rFonts w:eastAsia="Times New Roman" w:cs="Aparajita"/>
                <w:snapToGrid w:val="0"/>
              </w:rPr>
              <w:t xml:space="preserve"> while flushing.</w:t>
            </w:r>
          </w:p>
          <w:p w14:paraId="25723431" w14:textId="7587A014" w:rsidR="00FA29C9" w:rsidRPr="00025B3D" w:rsidRDefault="00FA29C9" w:rsidP="00FA29C9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 xml:space="preserve">Have another person from the lab dial </w:t>
            </w:r>
            <w:r w:rsidRPr="00A529E8">
              <w:rPr>
                <w:rFonts w:eastAsia="Times New Roman" w:cs="Aparajita"/>
                <w:b/>
                <w:snapToGrid w:val="0"/>
              </w:rPr>
              <w:t xml:space="preserve">911 </w:t>
            </w:r>
            <w:r>
              <w:rPr>
                <w:rFonts w:eastAsia="Times New Roman" w:cs="Aparajita"/>
                <w:snapToGrid w:val="0"/>
              </w:rPr>
              <w:t xml:space="preserve">if intense skin irritation is observed </w:t>
            </w:r>
            <w:r w:rsidRPr="00A529E8">
              <w:rPr>
                <w:rFonts w:eastAsia="Times New Roman" w:cs="Aparajita"/>
                <w:snapToGrid w:val="0"/>
              </w:rPr>
              <w:t xml:space="preserve">and specifically mention </w:t>
            </w:r>
            <w:r>
              <w:rPr>
                <w:rFonts w:eastAsia="Times New Roman" w:cs="Aparajita"/>
                <w:snapToGrid w:val="0"/>
              </w:rPr>
              <w:t xml:space="preserve">specific </w:t>
            </w:r>
            <w:r w:rsidRPr="00A529E8">
              <w:rPr>
                <w:rFonts w:eastAsia="Times New Roman" w:cs="Aparajita"/>
                <w:snapToGrid w:val="0"/>
              </w:rPr>
              <w:t>exposure</w:t>
            </w:r>
          </w:p>
          <w:p w14:paraId="2948FD24" w14:textId="6F150757" w:rsidR="00FA29C9" w:rsidRPr="00A529E8" w:rsidRDefault="00FA29C9" w:rsidP="00FA29C9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>Keep rinsing affected area(s) until emergency personnel arrives</w:t>
            </w:r>
          </w:p>
          <w:p w14:paraId="70241089" w14:textId="77777777" w:rsidR="00FA29C9" w:rsidRPr="002252D8" w:rsidRDefault="00FA29C9" w:rsidP="00470889">
            <w:pPr>
              <w:widowControl w:val="0"/>
              <w:spacing w:after="0" w:line="240" w:lineRule="auto"/>
              <w:rPr>
                <w:rFonts w:eastAsia="Times New Roman" w:cs="Aparajita"/>
                <w:i/>
                <w:snapToGrid w:val="0"/>
              </w:rPr>
            </w:pPr>
            <w:r w:rsidRPr="002252D8">
              <w:rPr>
                <w:rFonts w:eastAsia="Times New Roman" w:cs="Aparajita"/>
                <w:i/>
                <w:snapToGrid w:val="0"/>
              </w:rPr>
              <w:t>Ingestion</w:t>
            </w:r>
          </w:p>
          <w:p w14:paraId="329B5C65" w14:textId="77777777" w:rsidR="00FA29C9" w:rsidRPr="00DA1599" w:rsidRDefault="00FA29C9" w:rsidP="00FA29C9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714" w:hanging="357"/>
              <w:contextualSpacing/>
              <w:rPr>
                <w:rFonts w:eastAsia="Times New Roman" w:cs="Aparajita"/>
                <w:snapToGrid w:val="0"/>
              </w:rPr>
            </w:pPr>
            <w:r w:rsidRPr="00FA1BC6">
              <w:t xml:space="preserve">Immediately </w:t>
            </w:r>
            <w:r w:rsidRPr="00A529E8">
              <w:t>r</w:t>
            </w:r>
            <w:r>
              <w:t>inse the mouth with cold water</w:t>
            </w:r>
          </w:p>
          <w:p w14:paraId="0D3455A7" w14:textId="77777777" w:rsidR="00FA29C9" w:rsidRPr="003A595D" w:rsidRDefault="00FA29C9" w:rsidP="00FA29C9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714" w:hanging="357"/>
              <w:contextualSpacing/>
              <w:rPr>
                <w:rFonts w:eastAsia="Times New Roman" w:cs="Aparajita"/>
                <w:bCs/>
                <w:snapToGrid w:val="0"/>
              </w:rPr>
            </w:pPr>
            <w:r w:rsidRPr="003A595D">
              <w:rPr>
                <w:bCs/>
              </w:rPr>
              <w:t>Do NOT induce vomiting</w:t>
            </w:r>
          </w:p>
          <w:p w14:paraId="2BC69BAB" w14:textId="06589ED1" w:rsidR="00FA29C9" w:rsidRPr="00A529E8" w:rsidRDefault="00FA29C9" w:rsidP="00FA29C9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 xml:space="preserve">Have another person from the lab dial </w:t>
            </w:r>
            <w:r w:rsidRPr="00A529E8">
              <w:rPr>
                <w:rFonts w:eastAsia="Times New Roman" w:cs="Aparajita"/>
                <w:b/>
                <w:snapToGrid w:val="0"/>
              </w:rPr>
              <w:t xml:space="preserve">911 </w:t>
            </w:r>
            <w:r w:rsidRPr="00A529E8">
              <w:rPr>
                <w:rFonts w:eastAsia="Times New Roman" w:cs="Aparajita"/>
                <w:snapToGrid w:val="0"/>
              </w:rPr>
              <w:t xml:space="preserve">and specifically mention </w:t>
            </w:r>
            <w:r>
              <w:rPr>
                <w:rFonts w:eastAsia="Times New Roman" w:cs="Aparajita"/>
                <w:snapToGrid w:val="0"/>
              </w:rPr>
              <w:t>specific</w:t>
            </w:r>
            <w:r>
              <w:rPr>
                <w:rFonts w:eastAsia="Times New Roman" w:cs="Aparajita"/>
                <w:snapToGrid w:val="0"/>
                <w:vertAlign w:val="subscript"/>
              </w:rPr>
              <w:t xml:space="preserve"> </w:t>
            </w:r>
            <w:r>
              <w:rPr>
                <w:rFonts w:eastAsia="Times New Roman" w:cs="Aparajita"/>
                <w:snapToGrid w:val="0"/>
              </w:rPr>
              <w:t>exposure</w:t>
            </w:r>
          </w:p>
          <w:p w14:paraId="7D4ECB34" w14:textId="77777777" w:rsidR="00FA29C9" w:rsidRPr="002252D8" w:rsidRDefault="00FA29C9" w:rsidP="00470889">
            <w:pPr>
              <w:widowControl w:val="0"/>
              <w:spacing w:after="0" w:line="240" w:lineRule="auto"/>
              <w:rPr>
                <w:rFonts w:eastAsia="Times New Roman" w:cs="Aparajita"/>
                <w:i/>
                <w:snapToGrid w:val="0"/>
              </w:rPr>
            </w:pPr>
            <w:r w:rsidRPr="002252D8">
              <w:rPr>
                <w:rFonts w:eastAsia="Times New Roman" w:cs="Aparajita"/>
                <w:i/>
                <w:snapToGrid w:val="0"/>
              </w:rPr>
              <w:t>Inhalation</w:t>
            </w:r>
          </w:p>
          <w:p w14:paraId="52D69329" w14:textId="77777777" w:rsidR="00FA29C9" w:rsidRPr="00A529E8" w:rsidRDefault="00FA29C9" w:rsidP="00FA29C9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>Move to fresh air</w:t>
            </w:r>
          </w:p>
          <w:p w14:paraId="0CD85CBF" w14:textId="4C1AEB36" w:rsidR="00FA29C9" w:rsidRPr="00D5698D" w:rsidRDefault="00FA29C9" w:rsidP="00864D2D">
            <w:pPr>
              <w:widowControl w:val="0"/>
              <w:numPr>
                <w:ilvl w:val="0"/>
                <w:numId w:val="31"/>
              </w:numPr>
              <w:spacing w:after="120" w:line="240" w:lineRule="auto"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 xml:space="preserve">Dial </w:t>
            </w:r>
            <w:r w:rsidRPr="00A529E8">
              <w:rPr>
                <w:rFonts w:eastAsia="Times New Roman" w:cs="Aparajita"/>
                <w:b/>
                <w:snapToGrid w:val="0"/>
              </w:rPr>
              <w:t>911</w:t>
            </w:r>
            <w:r>
              <w:rPr>
                <w:rFonts w:eastAsia="Times New Roman" w:cs="Aparajita"/>
                <w:snapToGrid w:val="0"/>
              </w:rPr>
              <w:t xml:space="preserve"> and i</w:t>
            </w:r>
            <w:r w:rsidRPr="00D5698D">
              <w:rPr>
                <w:shd w:val="clear" w:color="auto" w:fill="FFFFFF"/>
              </w:rPr>
              <w:t xml:space="preserve">nform emergency responders that the accident involved </w:t>
            </w:r>
            <w:r>
              <w:rPr>
                <w:rFonts w:eastAsia="Times New Roman" w:cs="Aparajita"/>
                <w:snapToGrid w:val="0"/>
              </w:rPr>
              <w:t>the specific reagent</w:t>
            </w:r>
          </w:p>
          <w:p w14:paraId="3B80C3D1" w14:textId="636ABE7C" w:rsidR="00FA29C9" w:rsidRPr="00686B12" w:rsidRDefault="00FA29C9" w:rsidP="00FA29C9">
            <w:pPr>
              <w:widowControl w:val="0"/>
              <w:spacing w:after="0" w:line="240" w:lineRule="auto"/>
              <w:ind w:left="360"/>
              <w:contextualSpacing/>
              <w:rPr>
                <w:rFonts w:eastAsia="Times New Roman" w:cs="Aparajita"/>
                <w:snapToGrid w:val="0"/>
              </w:rPr>
            </w:pPr>
            <w:r w:rsidRPr="005D1245">
              <w:rPr>
                <w:rFonts w:eastAsia="Times New Roman" w:cs="Aparajita"/>
                <w:b/>
                <w:snapToGrid w:val="0"/>
              </w:rPr>
              <w:t xml:space="preserve">Report any incident to the PI </w:t>
            </w:r>
            <w:r w:rsidRPr="005D1245">
              <w:rPr>
                <w:rFonts w:eastAsia="Times New Roman" w:cs="Aparajita"/>
                <w:b/>
                <w:snapToGrid w:val="0"/>
                <w:u w:val="single"/>
              </w:rPr>
              <w:t>and</w:t>
            </w:r>
            <w:r w:rsidRPr="005D1245">
              <w:rPr>
                <w:rFonts w:eastAsia="Times New Roman" w:cs="Aparajita"/>
                <w:b/>
                <w:snapToGrid w:val="0"/>
              </w:rPr>
              <w:t xml:space="preserve"> fill out the </w:t>
            </w:r>
            <w:hyperlink r:id="rId15" w:history="1">
              <w:r w:rsidRPr="005D1245">
                <w:rPr>
                  <w:rStyle w:val="Hyperlink"/>
                  <w:rFonts w:eastAsia="Times New Roman" w:cs="Aparajita"/>
                  <w:b/>
                  <w:snapToGrid w:val="0"/>
                </w:rPr>
                <w:t>accident form</w:t>
              </w:r>
            </w:hyperlink>
          </w:p>
        </w:tc>
      </w:tr>
    </w:tbl>
    <w:p w14:paraId="06FBD09A" w14:textId="77777777" w:rsidR="004D7DE1" w:rsidRDefault="004D7DE1">
      <w:r>
        <w:br w:type="page"/>
      </w:r>
      <w:bookmarkStart w:id="0" w:name="_GoBack"/>
      <w:bookmarkEnd w:id="0"/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A29C9" w:rsidRPr="00C85102" w14:paraId="5F76B4EB" w14:textId="77777777" w:rsidTr="00F55BFF">
        <w:trPr>
          <w:trHeight w:val="432"/>
          <w:jc w:val="center"/>
        </w:trPr>
        <w:tc>
          <w:tcPr>
            <w:tcW w:w="10800" w:type="dxa"/>
            <w:shd w:val="clear" w:color="auto" w:fill="000E2F"/>
            <w:vAlign w:val="center"/>
          </w:tcPr>
          <w:p w14:paraId="4D3AAFCA" w14:textId="2D7F480C" w:rsidR="00FA29C9" w:rsidRPr="00174A02" w:rsidRDefault="00FA29C9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SECTION 9 – WASTE MANAGEMENT</w:t>
            </w:r>
          </w:p>
        </w:tc>
      </w:tr>
      <w:tr w:rsidR="00FA29C9" w:rsidRPr="00362737" w14:paraId="76718603" w14:textId="77777777" w:rsidTr="00F55BFF">
        <w:trPr>
          <w:trHeight w:val="432"/>
          <w:jc w:val="center"/>
        </w:trPr>
        <w:tc>
          <w:tcPr>
            <w:tcW w:w="10800" w:type="dxa"/>
            <w:shd w:val="clear" w:color="auto" w:fill="FFFFFF" w:themeFill="background1"/>
            <w:vAlign w:val="center"/>
          </w:tcPr>
          <w:p w14:paraId="64EEBD13" w14:textId="42EC60D7" w:rsidR="00FA29C9" w:rsidRDefault="00FA29C9" w:rsidP="00FA29C9">
            <w:pPr>
              <w:pStyle w:val="ListParagraph"/>
              <w:widowControl w:val="0"/>
              <w:numPr>
                <w:ilvl w:val="0"/>
                <w:numId w:val="27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A595D">
              <w:rPr>
                <w:rFonts w:eastAsia="Times New Roman" w:cs="Aparajita"/>
                <w:snapToGrid w:val="0"/>
              </w:rPr>
              <w:t>All waste must be labeled with “Hazardous Waste” stickers or tags, use full chemical names to describe the waste (i.e., no chemical abbreviations or symbols), be stored in sturdy</w:t>
            </w:r>
            <w:r>
              <w:rPr>
                <w:rFonts w:eastAsia="Times New Roman" w:cs="Aparajita"/>
                <w:snapToGrid w:val="0"/>
              </w:rPr>
              <w:t xml:space="preserve"> </w:t>
            </w:r>
            <w:r w:rsidRPr="003A595D">
              <w:rPr>
                <w:rFonts w:eastAsia="Times New Roman" w:cs="Aparajita"/>
                <w:snapToGrid w:val="0"/>
              </w:rPr>
              <w:t>containers with tight-fitting caps or lids, and be stored alone or with</w:t>
            </w:r>
            <w:r>
              <w:rPr>
                <w:rFonts w:eastAsia="Times New Roman" w:cs="Aparajita"/>
                <w:snapToGrid w:val="0"/>
              </w:rPr>
              <w:t xml:space="preserve"> other compatible chemicals</w:t>
            </w:r>
            <w:r w:rsidR="00864D2D">
              <w:rPr>
                <w:rFonts w:eastAsia="Times New Roman" w:cs="Aparajita"/>
                <w:snapToGrid w:val="0"/>
              </w:rPr>
              <w:t>.</w:t>
            </w:r>
          </w:p>
          <w:p w14:paraId="2036A73F" w14:textId="70C2E34B" w:rsidR="00FA29C9" w:rsidRPr="003A595D" w:rsidRDefault="00FA29C9" w:rsidP="00FA29C9">
            <w:pPr>
              <w:pStyle w:val="ListParagraph"/>
              <w:widowControl w:val="0"/>
              <w:numPr>
                <w:ilvl w:val="0"/>
                <w:numId w:val="27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The solid catalysts get disposed of in the solid waste cans. Especially Raney-Ni, if dried out, tends to catch fire. </w:t>
            </w:r>
            <w:r w:rsidR="00864D2D">
              <w:rPr>
                <w:rFonts w:eastAsia="Times New Roman" w:cs="Aparajita"/>
                <w:snapToGrid w:val="0"/>
              </w:rPr>
              <w:t>Mix with sand before disposal. Leave sand/Ni mix in fume hood for a day before disposal.</w:t>
            </w:r>
          </w:p>
          <w:p w14:paraId="6AD1AA83" w14:textId="52AC9C13" w:rsidR="00FA29C9" w:rsidRPr="00FA29C9" w:rsidRDefault="00FA29C9" w:rsidP="00FA29C9">
            <w:pPr>
              <w:pStyle w:val="ListParagraph"/>
              <w:widowControl w:val="0"/>
              <w:numPr>
                <w:ilvl w:val="0"/>
                <w:numId w:val="27"/>
              </w:numPr>
              <w:spacing w:before="80" w:after="80" w:line="240" w:lineRule="auto"/>
              <w:rPr>
                <w:rStyle w:val="Hyperlink"/>
                <w:rFonts w:eastAsia="Times New Roman" w:cs="Aparajita"/>
                <w:snapToGrid w:val="0"/>
                <w:color w:val="auto"/>
                <w:u w:val="none"/>
              </w:rPr>
            </w:pPr>
            <w:r w:rsidRPr="007A3C8E">
              <w:rPr>
                <w:rFonts w:eastAsia="Times New Roman" w:cs="Aparajita"/>
                <w:snapToGrid w:val="0"/>
              </w:rPr>
              <w:t xml:space="preserve">Hazardous wastes must be stored at or near a green “Satellite Accumulation Area” sign prior to disposal by EHS. Once the containers are 80% filled, fill our EH&amp;S chemical </w:t>
            </w:r>
            <w:hyperlink r:id="rId16" w:history="1">
              <w:r w:rsidRPr="00FB4B6D">
                <w:rPr>
                  <w:rStyle w:val="Hyperlink"/>
                  <w:rFonts w:eastAsia="Times New Roman" w:cs="Aparajita"/>
                  <w:snapToGrid w:val="0"/>
                </w:rPr>
                <w:t>waste pickup form</w:t>
              </w:r>
            </w:hyperlink>
            <w:r w:rsidR="00864D2D">
              <w:rPr>
                <w:rStyle w:val="Hyperlink"/>
                <w:rFonts w:eastAsia="Times New Roman" w:cs="Aparajita"/>
                <w:snapToGrid w:val="0"/>
              </w:rPr>
              <w:t>.</w:t>
            </w:r>
          </w:p>
          <w:p w14:paraId="030874B2" w14:textId="7F96AE60" w:rsidR="00FA29C9" w:rsidRPr="00FA29C9" w:rsidRDefault="00FA29C9" w:rsidP="00FA29C9">
            <w:pPr>
              <w:pStyle w:val="ListParagraph"/>
              <w:widowControl w:val="0"/>
              <w:numPr>
                <w:ilvl w:val="0"/>
                <w:numId w:val="27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FA29C9">
              <w:rPr>
                <w:rFonts w:eastAsia="Times New Roman" w:cs="Aparajita"/>
                <w:snapToGrid w:val="0"/>
              </w:rPr>
              <w:t xml:space="preserve">The </w:t>
            </w:r>
            <w:hyperlink r:id="rId17" w:history="1">
              <w:r w:rsidRPr="00FA29C9">
                <w:rPr>
                  <w:rStyle w:val="Hyperlink"/>
                  <w:rFonts w:eastAsia="Times New Roman" w:cs="Aparajita"/>
                  <w:snapToGrid w:val="0"/>
                </w:rPr>
                <w:t>Chemical Waste Disposal Manual</w:t>
              </w:r>
            </w:hyperlink>
            <w:r w:rsidRPr="00FA29C9">
              <w:rPr>
                <w:rFonts w:eastAsia="Times New Roman" w:cs="Aparajita"/>
                <w:snapToGrid w:val="0"/>
              </w:rPr>
              <w:t xml:space="preserve"> must be used as a reference</w:t>
            </w:r>
            <w:r w:rsidR="00864D2D">
              <w:rPr>
                <w:rFonts w:eastAsia="Times New Roman" w:cs="Aparajita"/>
                <w:snapToGrid w:val="0"/>
              </w:rPr>
              <w:t>.</w:t>
            </w:r>
          </w:p>
        </w:tc>
      </w:tr>
      <w:tr w:rsidR="00FA29C9" w:rsidRPr="00C85102" w14:paraId="33404F69" w14:textId="77777777" w:rsidTr="00F55BFF">
        <w:trPr>
          <w:trHeight w:val="432"/>
          <w:jc w:val="center"/>
        </w:trPr>
        <w:tc>
          <w:tcPr>
            <w:tcW w:w="10800" w:type="dxa"/>
            <w:shd w:val="clear" w:color="auto" w:fill="000E2F"/>
            <w:vAlign w:val="center"/>
          </w:tcPr>
          <w:p w14:paraId="7C2F0784" w14:textId="77777777" w:rsidR="00FA29C9" w:rsidRPr="00174A02" w:rsidRDefault="00FA29C9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2F2F2" w:themeColor="background1" w:themeShade="F2"/>
                <w:sz w:val="24"/>
                <w:szCs w:val="24"/>
              </w:rPr>
              <w:t>SECTION 10 – DECONTAMINATION PROCEDURES</w:t>
            </w:r>
          </w:p>
        </w:tc>
      </w:tr>
      <w:tr w:rsidR="00FA29C9" w:rsidRPr="00362737" w14:paraId="59D4909E" w14:textId="77777777" w:rsidTr="00FA29C9">
        <w:trPr>
          <w:trHeight w:val="958"/>
          <w:jc w:val="center"/>
        </w:trPr>
        <w:tc>
          <w:tcPr>
            <w:tcW w:w="10800" w:type="dxa"/>
            <w:shd w:val="clear" w:color="auto" w:fill="FFFFFF" w:themeFill="background1"/>
            <w:vAlign w:val="center"/>
          </w:tcPr>
          <w:p w14:paraId="610F5D46" w14:textId="77777777" w:rsidR="00FA29C9" w:rsidRDefault="00FA29C9" w:rsidP="00FA29C9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D5698D">
              <w:rPr>
                <w:rFonts w:eastAsia="Times New Roman" w:cs="Aparajita"/>
                <w:snapToGrid w:val="0"/>
                <w:color w:val="000000" w:themeColor="text1"/>
              </w:rPr>
              <w:t>Equipment can be decontaminated through rinse with copious amounts of water; use of surfactants is recommended.</w:t>
            </w:r>
          </w:p>
          <w:p w14:paraId="45333DBF" w14:textId="2EB2E637" w:rsidR="00FA29C9" w:rsidRPr="00FA29C9" w:rsidRDefault="00FA29C9" w:rsidP="00FA29C9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>
              <w:rPr>
                <w:rFonts w:eastAsia="Times New Roman" w:cs="Aparajita"/>
                <w:snapToGrid w:val="0"/>
                <w:color w:val="000000" w:themeColor="text1"/>
              </w:rPr>
              <w:t>Wash your hands after handling any of the hydrogenation catalysts</w:t>
            </w:r>
          </w:p>
        </w:tc>
      </w:tr>
      <w:tr w:rsidR="00FA29C9" w:rsidRPr="00C85102" w14:paraId="4A2F8A1B" w14:textId="77777777" w:rsidTr="00F55BFF">
        <w:trPr>
          <w:trHeight w:val="432"/>
          <w:jc w:val="center"/>
        </w:trPr>
        <w:tc>
          <w:tcPr>
            <w:tcW w:w="10800" w:type="dxa"/>
            <w:shd w:val="clear" w:color="auto" w:fill="000E2F"/>
            <w:vAlign w:val="center"/>
          </w:tcPr>
          <w:p w14:paraId="4ABCDB22" w14:textId="77777777" w:rsidR="00FA29C9" w:rsidRPr="00174A02" w:rsidRDefault="00FA29C9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11 – SPECIFIC PROCEDURE</w:t>
            </w:r>
          </w:p>
        </w:tc>
      </w:tr>
      <w:tr w:rsidR="00FA29C9" w:rsidRPr="00362737" w14:paraId="42CC6256" w14:textId="77777777" w:rsidTr="004D7DE1">
        <w:trPr>
          <w:trHeight w:val="2722"/>
          <w:jc w:val="center"/>
        </w:trPr>
        <w:tc>
          <w:tcPr>
            <w:tcW w:w="10800" w:type="dxa"/>
            <w:shd w:val="clear" w:color="auto" w:fill="FFFFFF" w:themeFill="background1"/>
            <w:vAlign w:val="center"/>
          </w:tcPr>
          <w:p w14:paraId="69A05FA7" w14:textId="7CA0B29D" w:rsidR="00FA29C9" w:rsidRPr="00786CF4" w:rsidRDefault="00FA29C9" w:rsidP="00A718D0">
            <w:pPr>
              <w:spacing w:before="80" w:after="80" w:line="240" w:lineRule="auto"/>
              <w:contextualSpacing/>
              <w:rPr>
                <w:rFonts w:eastAsia="Times New Roman" w:cs="Times New Roman"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t>A s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pecific procedure has b</w:t>
            </w:r>
            <w:r>
              <w:rPr>
                <w:rFonts w:eastAsia="Times New Roman" w:cs="Times New Roman"/>
                <w:color w:val="333333"/>
                <w:shd w:val="clear" w:color="auto" w:fill="FFFFFF"/>
              </w:rPr>
              <w:t xml:space="preserve">een described in following work: 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Sharma, M.; Banerjee, S.; Zeller, M.; Brückner, C. ‘Fusion and Desulfurization Reactions of </w:t>
            </w:r>
            <w:proofErr w:type="spellStart"/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Thiomorpholinochlorin</w:t>
            </w:r>
            <w:proofErr w:type="spellEnd"/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’</w:t>
            </w:r>
            <w:r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</w:t>
            </w:r>
            <w:r w:rsidRPr="00786CF4">
              <w:rPr>
                <w:rFonts w:eastAsia="Times New Roman" w:cs="Times New Roman"/>
                <w:i/>
                <w:iCs/>
                <w:color w:val="333333"/>
              </w:rPr>
              <w:t>J.</w:t>
            </w:r>
            <w:r>
              <w:rPr>
                <w:rFonts w:eastAsia="Times New Roman" w:cs="Times New Roman"/>
                <w:i/>
                <w:iCs/>
                <w:color w:val="333333"/>
              </w:rPr>
              <w:t xml:space="preserve"> </w:t>
            </w:r>
            <w:r w:rsidRPr="00786CF4">
              <w:rPr>
                <w:rFonts w:eastAsia="Times New Roman" w:cs="Times New Roman"/>
                <w:i/>
                <w:iCs/>
                <w:color w:val="333333"/>
              </w:rPr>
              <w:t>Org. Chem.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 </w:t>
            </w:r>
            <w:r w:rsidRPr="00786CF4">
              <w:rPr>
                <w:rFonts w:eastAsia="Times New Roman" w:cs="Times New Roman"/>
                <w:b/>
                <w:bCs/>
                <w:color w:val="333333"/>
              </w:rPr>
              <w:t>2016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,</w:t>
            </w:r>
            <w:r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</w:t>
            </w:r>
            <w:r w:rsidRPr="00786CF4">
              <w:rPr>
                <w:rFonts w:eastAsia="Times New Roman" w:cs="Times New Roman"/>
                <w:i/>
                <w:iCs/>
                <w:color w:val="333333"/>
              </w:rPr>
              <w:t>81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, 12350−12356.</w:t>
            </w:r>
          </w:p>
          <w:p w14:paraId="2CF660DD" w14:textId="77777777" w:rsidR="00FA29C9" w:rsidRDefault="00FA29C9" w:rsidP="00A718D0">
            <w:pPr>
              <w:spacing w:before="80" w:after="80" w:line="240" w:lineRule="auto"/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14:paraId="37F13731" w14:textId="4F86A311" w:rsidR="00FA29C9" w:rsidRDefault="00FA29C9" w:rsidP="00A718D0">
            <w:pPr>
              <w:spacing w:before="80" w:after="80" w:line="240" w:lineRule="auto"/>
              <w:contextualSpacing/>
              <w:rPr>
                <w:rFonts w:eastAsia="Times New Roman" w:cs="Times New Roman"/>
                <w:color w:val="333333"/>
                <w:shd w:val="clear" w:color="auto" w:fill="FFFFFF"/>
              </w:rPr>
            </w:pP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To a solution of [</w:t>
            </w:r>
            <w:r w:rsidRPr="00FA29C9">
              <w:rPr>
                <w:rFonts w:eastAsia="Times New Roman" w:cs="Times New Roman"/>
                <w:i/>
                <w:color w:val="333333"/>
                <w:shd w:val="clear" w:color="auto" w:fill="FFFFFF"/>
              </w:rPr>
              <w:t>meso</w:t>
            </w:r>
            <w:r w:rsidR="004D7DE1">
              <w:rPr>
                <w:rFonts w:eastAsia="Times New Roman" w:cs="Times New Roman"/>
                <w:color w:val="333333"/>
                <w:shd w:val="clear" w:color="auto" w:fill="FFFFFF"/>
              </w:rPr>
              <w:t>-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tetraphenyl-2,3-dimethylene-2a-thio-2a-</w:t>
            </w:r>
            <w:proofErr w:type="gramStart"/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homoporphyrinato]nickel</w:t>
            </w:r>
            <w:proofErr w:type="gramEnd"/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(II) </w:t>
            </w:r>
            <w:r w:rsidRPr="00FA29C9">
              <w:rPr>
                <w:rFonts w:eastAsia="Times New Roman" w:cs="Times New Roman"/>
                <w:b/>
                <w:color w:val="333333"/>
                <w:shd w:val="clear" w:color="auto" w:fill="FFFFFF"/>
              </w:rPr>
              <w:t>8Ni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(25 mg, 3.43 × 10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  <w:vertAlign w:val="superscript"/>
              </w:rPr>
              <w:t>−5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mol</w:t>
            </w:r>
            <w:proofErr w:type="spellEnd"/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) in THF (10 mL) was added Raney-Ni (2.0 mL of a 50% slurry of Raney-Ni in H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  <w:vertAlign w:val="subscript"/>
              </w:rPr>
              <w:t>2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O), and the reaction mixture was stirred for 12 h at </w:t>
            </w:r>
            <w:proofErr w:type="spellStart"/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rt</w:t>
            </w:r>
            <w:proofErr w:type="spellEnd"/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under a H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  <w:vertAlign w:val="subscript"/>
              </w:rPr>
              <w:t>2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atmosphere (provided by balloon). After the starting material was consumed (reaction monitored by TLC), the catalyst was filtered off by gravity filtration. The organic phase was dried over anhydrous Na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  <w:vertAlign w:val="subscript"/>
              </w:rPr>
              <w:t>2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>SO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  <w:vertAlign w:val="subscript"/>
              </w:rPr>
              <w:t>4</w:t>
            </w:r>
            <w:r w:rsidRPr="00786CF4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, filtered, and evaporated to dryness by rotary evaporation. </w:t>
            </w:r>
          </w:p>
          <w:p w14:paraId="1CD21716" w14:textId="105C1729" w:rsidR="00A718D0" w:rsidRPr="00A718D0" w:rsidRDefault="00A718D0" w:rsidP="00A718D0">
            <w:pPr>
              <w:spacing w:before="80" w:after="80" w:line="240" w:lineRule="auto"/>
              <w:contextualSpacing/>
              <w:rPr>
                <w:rFonts w:eastAsia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35E551B0" w14:textId="77777777" w:rsidR="00AC441D" w:rsidRDefault="00AC441D">
      <w:pPr>
        <w:jc w:val="center"/>
      </w:pPr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6403"/>
        <w:gridCol w:w="2884"/>
        <w:gridCol w:w="1481"/>
        <w:gridCol w:w="16"/>
      </w:tblGrid>
      <w:tr w:rsidR="00C76674" w:rsidRPr="00C85102" w14:paraId="560DA53C" w14:textId="77777777" w:rsidTr="00F55BFF">
        <w:trPr>
          <w:gridBefore w:val="1"/>
          <w:wBefore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000E2F"/>
          </w:tcPr>
          <w:p w14:paraId="397B9B9D" w14:textId="34F24643" w:rsidR="00C76674" w:rsidRPr="00174A02" w:rsidRDefault="00273283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  <w:sz w:val="24"/>
                <w:szCs w:val="24"/>
              </w:rPr>
            </w:pPr>
            <w:r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lastRenderedPageBreak/>
              <w:t xml:space="preserve">SECTION 12A. </w:t>
            </w:r>
            <w:r w:rsidR="00174A02" w:rsidRPr="00174A02"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t xml:space="preserve"> APPROVAL</w:t>
            </w:r>
          </w:p>
        </w:tc>
      </w:tr>
      <w:tr w:rsidR="00C76674" w:rsidRPr="00362737" w14:paraId="67A597BE" w14:textId="77777777" w:rsidTr="00F55BFF">
        <w:trPr>
          <w:gridBefore w:val="1"/>
          <w:wBefore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FFFFFF" w:themeFill="background1"/>
          </w:tcPr>
          <w:p w14:paraId="6488C869" w14:textId="3028953B" w:rsidR="002B1DB7" w:rsidRPr="00362737" w:rsidRDefault="0060252D" w:rsidP="000570F1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62737">
              <w:rPr>
                <w:rFonts w:eastAsia="Times New Roman" w:cs="Aparajita"/>
                <w:snapToGrid w:val="0"/>
              </w:rPr>
              <w:t xml:space="preserve">I have reviewed, understand and agree to follow this </w:t>
            </w:r>
            <w:r w:rsidR="00DF0237" w:rsidRPr="00362737">
              <w:rPr>
                <w:rFonts w:eastAsia="Times New Roman" w:cs="Aparajita"/>
                <w:snapToGrid w:val="0"/>
              </w:rPr>
              <w:t xml:space="preserve">lab-specific </w:t>
            </w:r>
            <w:r w:rsidRPr="00362737">
              <w:rPr>
                <w:rFonts w:eastAsia="Times New Roman" w:cs="Aparajita"/>
                <w:snapToGrid w:val="0"/>
              </w:rPr>
              <w:t>standard operating procedure (</w:t>
            </w:r>
            <w:r w:rsidR="00241FD1" w:rsidRPr="00362737">
              <w:rPr>
                <w:rFonts w:eastAsia="Times New Roman" w:cs="Aparajita"/>
                <w:snapToGrid w:val="0"/>
              </w:rPr>
              <w:t>L</w:t>
            </w:r>
            <w:r w:rsidRPr="00362737">
              <w:rPr>
                <w:rFonts w:eastAsia="Times New Roman" w:cs="Aparajita"/>
                <w:snapToGrid w:val="0"/>
              </w:rPr>
              <w:t>SOP)</w:t>
            </w:r>
            <w:r w:rsidR="00864D2D">
              <w:rPr>
                <w:rFonts w:eastAsia="Times New Roman" w:cs="Aparajita"/>
                <w:snapToGrid w:val="0"/>
              </w:rPr>
              <w:t xml:space="preserve"> involving hydrogenation catalysts</w:t>
            </w:r>
            <w:r w:rsidRPr="00362737">
              <w:rPr>
                <w:rFonts w:eastAsia="Times New Roman" w:cs="Aparajita"/>
                <w:i/>
                <w:snapToGrid w:val="0"/>
              </w:rPr>
              <w:t xml:space="preserve">. </w:t>
            </w:r>
            <w:r w:rsidRPr="00362737">
              <w:rPr>
                <w:rFonts w:eastAsia="Times New Roman" w:cs="Aparajita"/>
                <w:snapToGrid w:val="0"/>
              </w:rPr>
              <w:t>Failure to follow th</w:t>
            </w:r>
            <w:r w:rsidR="004A0961" w:rsidRPr="00362737">
              <w:rPr>
                <w:rFonts w:eastAsia="Times New Roman" w:cs="Aparajita"/>
                <w:snapToGrid w:val="0"/>
              </w:rPr>
              <w:t>is</w:t>
            </w:r>
            <w:r w:rsidRPr="00362737">
              <w:rPr>
                <w:rFonts w:eastAsia="Times New Roman" w:cs="Aparajita"/>
                <w:snapToGrid w:val="0"/>
              </w:rPr>
              <w:t xml:space="preserve"> </w:t>
            </w:r>
            <w:r w:rsidR="00241FD1" w:rsidRPr="00362737">
              <w:rPr>
                <w:rFonts w:eastAsia="Times New Roman" w:cs="Aparajita"/>
                <w:snapToGrid w:val="0"/>
              </w:rPr>
              <w:t>L</w:t>
            </w:r>
            <w:r w:rsidRPr="00362737">
              <w:rPr>
                <w:rFonts w:eastAsia="Times New Roman" w:cs="Aparajita"/>
                <w:snapToGrid w:val="0"/>
              </w:rPr>
              <w:t xml:space="preserve">SOP </w:t>
            </w:r>
            <w:r w:rsidR="004A0961" w:rsidRPr="00362737">
              <w:rPr>
                <w:rFonts w:eastAsia="Times New Roman" w:cs="Aparajita"/>
                <w:snapToGrid w:val="0"/>
              </w:rPr>
              <w:t>or</w:t>
            </w:r>
            <w:r w:rsidRPr="00362737">
              <w:rPr>
                <w:rFonts w:eastAsia="Times New Roman" w:cs="Aparajita"/>
                <w:snapToGrid w:val="0"/>
              </w:rPr>
              <w:t xml:space="preserve"> lab-specific training guidelines is a violation of the </w:t>
            </w:r>
            <w:hyperlink r:id="rId18" w:history="1">
              <w:r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Health &amp; Safety Policy</w:t>
              </w:r>
            </w:hyperlink>
            <w:r w:rsidRPr="00362737">
              <w:rPr>
                <w:rFonts w:eastAsia="Times New Roman" w:cs="Aparajita"/>
                <w:snapToGrid w:val="0"/>
              </w:rPr>
              <w:t xml:space="preserve"> and </w:t>
            </w:r>
            <w:hyperlink r:id="rId19" w:history="1">
              <w:r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Code of Conduct</w:t>
              </w:r>
            </w:hyperlink>
            <w:r w:rsidR="002B1DB7" w:rsidRPr="00362737">
              <w:rPr>
                <w:rFonts w:eastAsia="Times New Roman" w:cs="Aparajita"/>
                <w:snapToGrid w:val="0"/>
              </w:rPr>
              <w:t>.</w:t>
            </w:r>
          </w:p>
          <w:p w14:paraId="6E7D4746" w14:textId="77777777" w:rsidR="0060252D" w:rsidRPr="00362737" w:rsidRDefault="0060252D" w:rsidP="000570F1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62737">
              <w:rPr>
                <w:rFonts w:eastAsia="Times New Roman" w:cs="Aparajita"/>
                <w:snapToGrid w:val="0"/>
              </w:rPr>
              <w:t xml:space="preserve">Further approval </w:t>
            </w:r>
            <w:r w:rsidR="002B1DB7" w:rsidRPr="00362737">
              <w:rPr>
                <w:rFonts w:eastAsia="Times New Roman" w:cs="Aparajita"/>
                <w:snapToGrid w:val="0"/>
              </w:rPr>
              <w:t>and/or review of this LSOP by</w:t>
            </w:r>
            <w:r w:rsidRPr="00362737">
              <w:rPr>
                <w:rFonts w:eastAsia="Times New Roman" w:cs="Aparajita"/>
                <w:snapToGrid w:val="0"/>
              </w:rPr>
              <w:t xml:space="preserve"> the PI/Supervisor is required if any of the following events occur:</w:t>
            </w:r>
          </w:p>
          <w:p w14:paraId="57242E2E" w14:textId="77777777" w:rsidR="0060252D" w:rsidRPr="00362737" w:rsidRDefault="0060252D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A </w:t>
            </w:r>
            <w:r w:rsidR="00E51A8A">
              <w:rPr>
                <w:rFonts w:eastAsia="Times New Roman" w:cs="Aparajita"/>
              </w:rPr>
              <w:t xml:space="preserve">significant </w:t>
            </w:r>
            <w:r w:rsidRPr="00362737">
              <w:rPr>
                <w:rFonts w:eastAsia="Times New Roman" w:cs="Aparajita"/>
              </w:rPr>
              <w:t>change in amount (</w:t>
            </w:r>
            <w:r w:rsidR="00E51A8A">
              <w:rPr>
                <w:rFonts w:eastAsia="Times New Roman" w:cs="Aparajita"/>
              </w:rPr>
              <w:t>i.e., doubling of the scale of reaction</w:t>
            </w:r>
            <w:r w:rsidRPr="00362737">
              <w:rPr>
                <w:rFonts w:eastAsia="Times New Roman" w:cs="Aparajita"/>
              </w:rPr>
              <w:t>) or substitution of the chemicals in the procedure is planned</w:t>
            </w:r>
          </w:p>
          <w:p w14:paraId="220C8E54" w14:textId="77777777" w:rsidR="0060252D" w:rsidRPr="00362737" w:rsidRDefault="0060252D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A </w:t>
            </w:r>
            <w:r w:rsidR="00A17111" w:rsidRPr="00362737">
              <w:rPr>
                <w:rFonts w:eastAsia="Times New Roman" w:cs="Aparajita"/>
              </w:rPr>
              <w:t xml:space="preserve">major </w:t>
            </w:r>
            <w:r w:rsidRPr="00362737">
              <w:rPr>
                <w:rFonts w:eastAsia="Times New Roman" w:cs="Aparajita"/>
              </w:rPr>
              <w:t>change in the agreed-upon experimental set-up is planned</w:t>
            </w:r>
            <w:r w:rsidR="00A17111" w:rsidRPr="00362737">
              <w:rPr>
                <w:rFonts w:eastAsia="Times New Roman" w:cs="Aparajita"/>
              </w:rPr>
              <w:t xml:space="preserve"> (heating instead of room temp, etc.)</w:t>
            </w:r>
          </w:p>
          <w:p w14:paraId="56BCEA68" w14:textId="77777777" w:rsidR="0060252D" w:rsidRPr="00362737" w:rsidRDefault="00A17111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</w:t>
            </w:r>
            <w:r w:rsidR="0060252D" w:rsidRPr="00362737">
              <w:rPr>
                <w:rFonts w:eastAsia="Times New Roman" w:cs="Aparajita"/>
              </w:rPr>
              <w:t>igns of a failure in safety design or equipment are observed</w:t>
            </w:r>
          </w:p>
          <w:p w14:paraId="287972F9" w14:textId="77777777" w:rsidR="0060252D" w:rsidRPr="00362737" w:rsidRDefault="00A17111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</w:t>
            </w:r>
            <w:r w:rsidR="0060252D" w:rsidRPr="00362737">
              <w:rPr>
                <w:rFonts w:eastAsia="Times New Roman" w:cs="Aparajita"/>
              </w:rPr>
              <w:t>igns or symptoms of a chemical exposure to any personnel are observed</w:t>
            </w:r>
          </w:p>
          <w:p w14:paraId="563C701B" w14:textId="77777777" w:rsidR="00C76674" w:rsidRPr="000570F1" w:rsidRDefault="0060252D" w:rsidP="00C85102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Unexpected and/or potentially dangerous experimental results occur (e.g., fire, </w:t>
            </w:r>
            <w:r w:rsidRPr="00362737">
              <w:rPr>
                <w:rFonts w:eastAsia="Times New Roman" w:cs="Helvetica"/>
                <w:snapToGrid w:val="0"/>
                <w:shd w:val="clear" w:color="auto" w:fill="FFFFFF"/>
              </w:rPr>
              <w:t>uncontrolled buildup of heat and/or pressure,</w:t>
            </w:r>
            <w:r w:rsidRPr="00362737">
              <w:rPr>
                <w:rFonts w:eastAsia="Times New Roman" w:cs="Aparajita"/>
              </w:rPr>
              <w:t xml:space="preserve"> etc.)</w:t>
            </w:r>
            <w:r w:rsidR="00E51A8A">
              <w:rPr>
                <w:rFonts w:eastAsia="Times New Roman" w:cs="Aparajita"/>
              </w:rPr>
              <w:br/>
            </w:r>
          </w:p>
        </w:tc>
      </w:tr>
      <w:tr w:rsidR="002B1DB7" w:rsidRPr="00C85102" w14:paraId="2F10D38E" w14:textId="77777777" w:rsidTr="00F55BFF">
        <w:trPr>
          <w:gridBefore w:val="1"/>
          <w:wBefore w:w="15" w:type="dxa"/>
          <w:trHeight w:val="638"/>
          <w:jc w:val="center"/>
        </w:trPr>
        <w:tc>
          <w:tcPr>
            <w:tcW w:w="6190" w:type="dxa"/>
            <w:shd w:val="clear" w:color="auto" w:fill="D9D9D9" w:themeFill="background1" w:themeFillShade="D9"/>
          </w:tcPr>
          <w:p w14:paraId="56BB4F5B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Researcher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14:paraId="6AE02F25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Trainer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1447" w:type="dxa"/>
            <w:gridSpan w:val="2"/>
            <w:shd w:val="clear" w:color="auto" w:fill="D9D9D9" w:themeFill="background1" w:themeFillShade="D9"/>
          </w:tcPr>
          <w:p w14:paraId="357D9D85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Training Date</w:t>
            </w:r>
          </w:p>
        </w:tc>
      </w:tr>
      <w:tr w:rsidR="002B1DB7" w:rsidRPr="00C85102" w14:paraId="1E51142A" w14:textId="77777777" w:rsidTr="00F55BFF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</w:tcPr>
          <w:p w14:paraId="3390B91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521889C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126A97DF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529CC81C" w14:textId="77777777" w:rsidTr="00F55BFF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</w:tcPr>
          <w:p w14:paraId="277F540B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5AC7FA1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4D24B3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121DB411" w14:textId="77777777" w:rsidTr="00F55BFF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</w:tcPr>
          <w:p w14:paraId="63B5C46B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4F3D2C70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78DEB04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509A1D03" w14:textId="77777777" w:rsidTr="00F55BFF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</w:tcPr>
          <w:p w14:paraId="1891B809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294DEC2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2D69D842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228ADE31" w14:textId="77777777" w:rsidTr="00F55BFF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</w:tcPr>
          <w:p w14:paraId="4357EF6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1F88312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6D2DD9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40FAD5C9" w14:textId="77777777" w:rsidTr="00F55BFF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</w:tcPr>
          <w:p w14:paraId="447AC176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345CA68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616D8100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2C754870" w14:textId="77777777" w:rsidTr="00F55BFF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</w:tcPr>
          <w:p w14:paraId="71E8525D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78ACAB86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133D29B2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55084153" w14:textId="77777777" w:rsidTr="00F55BFF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</w:tcPr>
          <w:p w14:paraId="2A68C210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0FE99D55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10457E3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60252D" w:rsidRPr="00C85102" w14:paraId="0EB90F90" w14:textId="77777777" w:rsidTr="00F55BFF">
        <w:trPr>
          <w:gridBefore w:val="1"/>
          <w:wBefore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000E2F"/>
          </w:tcPr>
          <w:p w14:paraId="38BEE738" w14:textId="77777777" w:rsidR="0060252D" w:rsidRPr="00174A02" w:rsidRDefault="00174A02" w:rsidP="0060252D">
            <w:pPr>
              <w:widowControl w:val="0"/>
              <w:spacing w:after="0" w:line="240" w:lineRule="auto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SECTION 12B.</w:t>
            </w:r>
            <w:r w:rsidRPr="00174A02">
              <w:rPr>
                <w:rFonts w:cs="Aparajita"/>
                <w:b/>
                <w:sz w:val="24"/>
                <w:szCs w:val="24"/>
              </w:rPr>
              <w:t xml:space="preserve">    PRINCIPAL INVESTIGATOR CERTIFICATION</w:t>
            </w:r>
          </w:p>
        </w:tc>
      </w:tr>
      <w:tr w:rsidR="0060252D" w:rsidRPr="004A0961" w14:paraId="6B9D1F2B" w14:textId="77777777" w:rsidTr="00F55BFF">
        <w:trPr>
          <w:gridAfter w:val="1"/>
          <w:wAfter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FFFFFF" w:themeFill="background1"/>
          </w:tcPr>
          <w:p w14:paraId="6C96ADF9" w14:textId="77777777" w:rsidR="0060252D" w:rsidRPr="004A0961" w:rsidRDefault="0060252D" w:rsidP="004A0961">
            <w:pPr>
              <w:widowControl w:val="0"/>
              <w:spacing w:before="40" w:after="4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snapToGrid w:val="0"/>
              </w:rPr>
              <w:t xml:space="preserve">I approve the contents of the </w:t>
            </w:r>
            <w:r w:rsidR="003603B7" w:rsidRPr="004A0961">
              <w:rPr>
                <w:rFonts w:eastAsia="Times New Roman" w:cs="Aparajita"/>
                <w:snapToGrid w:val="0"/>
              </w:rPr>
              <w:t xml:space="preserve">lab-specific </w:t>
            </w:r>
            <w:r w:rsidRPr="004A0961">
              <w:rPr>
                <w:rFonts w:eastAsia="Times New Roman" w:cs="Aparajita"/>
                <w:snapToGrid w:val="0"/>
              </w:rPr>
              <w:t>standard operating procedure listed above</w:t>
            </w:r>
            <w:r w:rsidR="004A0961">
              <w:rPr>
                <w:rFonts w:eastAsia="Times New Roman" w:cs="Aparajita"/>
                <w:snapToGrid w:val="0"/>
              </w:rPr>
              <w:t>.</w:t>
            </w:r>
          </w:p>
        </w:tc>
      </w:tr>
      <w:tr w:rsidR="004A0961" w:rsidRPr="00113202" w14:paraId="1BA38147" w14:textId="77777777" w:rsidTr="00F55BFF">
        <w:trPr>
          <w:gridAfter w:val="1"/>
          <w:wAfter w:w="15" w:type="dxa"/>
          <w:trHeight w:val="827"/>
          <w:jc w:val="center"/>
        </w:trPr>
        <w:tc>
          <w:tcPr>
            <w:tcW w:w="8993" w:type="dxa"/>
            <w:gridSpan w:val="3"/>
            <w:shd w:val="clear" w:color="auto" w:fill="FFFFFF" w:themeFill="background1"/>
          </w:tcPr>
          <w:p w14:paraId="05C19C40" w14:textId="77777777" w:rsidR="0060252D" w:rsidRPr="00113202" w:rsidRDefault="00012B2D" w:rsidP="002B1DB7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>
              <w:rPr>
                <w:rFonts w:eastAsia="Times New Roman" w:cs="Aparajita"/>
                <w:b/>
                <w:snapToGrid w:val="0"/>
              </w:rPr>
              <w:t xml:space="preserve">PI </w:t>
            </w:r>
            <w:r w:rsidR="0060252D" w:rsidRPr="00113202">
              <w:rPr>
                <w:rFonts w:eastAsia="Times New Roman" w:cs="Aparajita"/>
                <w:b/>
                <w:snapToGrid w:val="0"/>
              </w:rPr>
              <w:t>Signature:</w:t>
            </w:r>
          </w:p>
        </w:tc>
        <w:tc>
          <w:tcPr>
            <w:tcW w:w="1432" w:type="dxa"/>
            <w:shd w:val="clear" w:color="auto" w:fill="FFFFFF" w:themeFill="background1"/>
          </w:tcPr>
          <w:p w14:paraId="6F93FED1" w14:textId="77777777" w:rsidR="0060252D" w:rsidRPr="00113202" w:rsidRDefault="0060252D" w:rsidP="002B1DB7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 w:rsidRPr="00113202">
              <w:rPr>
                <w:rFonts w:eastAsia="Times New Roman" w:cs="Aparajita"/>
                <w:b/>
                <w:snapToGrid w:val="0"/>
              </w:rPr>
              <w:t>Date:</w:t>
            </w:r>
          </w:p>
        </w:tc>
      </w:tr>
      <w:tr w:rsidR="0060252D" w:rsidRPr="00113202" w14:paraId="1457F2E0" w14:textId="77777777" w:rsidTr="00F55BFF">
        <w:trPr>
          <w:gridAfter w:val="1"/>
          <w:wAfter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000E2F"/>
          </w:tcPr>
          <w:p w14:paraId="6AA34341" w14:textId="77777777" w:rsidR="0060252D" w:rsidRPr="002B1DB7" w:rsidRDefault="00174A02" w:rsidP="00174A02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A HARD OR ELECTRONIC COPY </w:t>
            </w:r>
            <w:r w:rsidR="004A0961">
              <w:rPr>
                <w:rFonts w:eastAsia="Times New Roman" w:cs="Aparajita"/>
                <w:b/>
                <w:snapToGrid w:val="0"/>
                <w:sz w:val="24"/>
                <w:szCs w:val="24"/>
              </w:rPr>
              <w:t>(</w:t>
            </w:r>
            <w:r w:rsidR="002B1DB7" w:rsidRP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>https://bruckner.research.uconn.edu/safety-resources/)</w:t>
            </w:r>
            <w:r w:rsid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 </w:t>
            </w: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OF EACH LAB-SPECIF</w:t>
            </w:r>
            <w:r w:rsid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IC STANDARD OPERATING PROCEDURE </w:t>
            </w: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MUST BE READILY AVAILBALE IN THE LAB.</w:t>
            </w:r>
          </w:p>
        </w:tc>
      </w:tr>
    </w:tbl>
    <w:p w14:paraId="0D0D4230" w14:textId="77777777" w:rsidR="00A274E1" w:rsidRPr="002B1DB7" w:rsidRDefault="00A274E1" w:rsidP="002B1DB7">
      <w:pPr>
        <w:pStyle w:val="Heading1"/>
        <w:keepNext w:val="0"/>
        <w:keepLines w:val="0"/>
        <w:rPr>
          <w:rStyle w:val="A5"/>
          <w:rFonts w:cstheme="majorBidi"/>
          <w:color w:val="2E74B5" w:themeColor="accent1" w:themeShade="BF"/>
        </w:rPr>
      </w:pPr>
    </w:p>
    <w:sectPr w:rsidR="00A274E1" w:rsidRPr="002B1DB7" w:rsidSect="00F55BFF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066" w:right="720" w:bottom="1037" w:left="720" w:header="288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242E" w14:textId="77777777" w:rsidR="0058190D" w:rsidRDefault="0058190D" w:rsidP="00F47BA4">
      <w:pPr>
        <w:spacing w:after="0" w:line="240" w:lineRule="auto"/>
      </w:pPr>
      <w:r>
        <w:separator/>
      </w:r>
    </w:p>
  </w:endnote>
  <w:endnote w:type="continuationSeparator" w:id="0">
    <w:p w14:paraId="4EB2EE18" w14:textId="77777777" w:rsidR="0058190D" w:rsidRDefault="0058190D" w:rsidP="00F4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 Neue">
    <w:panose1 w:val="02000500000000000000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148891"/>
      <w:docPartObj>
        <w:docPartGallery w:val="Page Numbers (Bottom of Page)"/>
        <w:docPartUnique/>
      </w:docPartObj>
    </w:sdtPr>
    <w:sdtEndPr/>
    <w:sdtContent>
      <w:sdt>
        <w:sdtPr>
          <w:id w:val="-1574811382"/>
          <w:docPartObj>
            <w:docPartGallery w:val="Page Numbers (Top of Page)"/>
            <w:docPartUnique/>
          </w:docPartObj>
        </w:sdtPr>
        <w:sdtEndPr/>
        <w:sdtContent>
          <w:p w14:paraId="7F1612FD" w14:textId="26640327" w:rsidR="00FD5B6F" w:rsidRPr="00F55BFF" w:rsidRDefault="00F55BFF" w:rsidP="00F55BFF">
            <w:pPr>
              <w:pStyle w:val="Footer"/>
              <w:jc w:val="right"/>
            </w:pPr>
            <w:r w:rsidRPr="00A61E18">
              <w:rPr>
                <w:sz w:val="20"/>
                <w:szCs w:val="20"/>
              </w:rPr>
              <w:t xml:space="preserve">Page </w:t>
            </w:r>
            <w:r w:rsidRPr="00A61E18">
              <w:rPr>
                <w:bCs/>
                <w:sz w:val="20"/>
                <w:szCs w:val="20"/>
              </w:rPr>
              <w:fldChar w:fldCharType="begin"/>
            </w:r>
            <w:r w:rsidRPr="00A61E18">
              <w:rPr>
                <w:bCs/>
                <w:sz w:val="20"/>
                <w:szCs w:val="20"/>
              </w:rPr>
              <w:instrText xml:space="preserve"> PAGE </w:instrText>
            </w:r>
            <w:r w:rsidRPr="00A61E18">
              <w:rPr>
                <w:bCs/>
                <w:sz w:val="20"/>
                <w:szCs w:val="20"/>
              </w:rPr>
              <w:fldChar w:fldCharType="separate"/>
            </w:r>
            <w:r w:rsidR="00FD4EFD">
              <w:rPr>
                <w:bCs/>
                <w:noProof/>
                <w:sz w:val="20"/>
                <w:szCs w:val="20"/>
              </w:rPr>
              <w:t>4</w:t>
            </w:r>
            <w:r w:rsidRPr="00A61E18">
              <w:rPr>
                <w:bCs/>
                <w:sz w:val="20"/>
                <w:szCs w:val="20"/>
              </w:rPr>
              <w:fldChar w:fldCharType="end"/>
            </w:r>
            <w:r w:rsidRPr="00A61E18">
              <w:rPr>
                <w:sz w:val="20"/>
                <w:szCs w:val="20"/>
              </w:rPr>
              <w:t xml:space="preserve"> of </w:t>
            </w:r>
            <w:r w:rsidRPr="00A61E18">
              <w:rPr>
                <w:bCs/>
                <w:sz w:val="20"/>
                <w:szCs w:val="20"/>
              </w:rPr>
              <w:fldChar w:fldCharType="begin"/>
            </w:r>
            <w:r w:rsidRPr="00A61E18">
              <w:rPr>
                <w:bCs/>
                <w:sz w:val="20"/>
                <w:szCs w:val="20"/>
              </w:rPr>
              <w:instrText xml:space="preserve"> NUMPAGES  </w:instrText>
            </w:r>
            <w:r w:rsidRPr="00A61E18">
              <w:rPr>
                <w:bCs/>
                <w:sz w:val="20"/>
                <w:szCs w:val="20"/>
              </w:rPr>
              <w:fldChar w:fldCharType="separate"/>
            </w:r>
            <w:r w:rsidR="00FD4EFD">
              <w:rPr>
                <w:bCs/>
                <w:noProof/>
                <w:sz w:val="20"/>
                <w:szCs w:val="20"/>
              </w:rPr>
              <w:t>4</w:t>
            </w:r>
            <w:r w:rsidRPr="00A61E1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14758117"/>
          <w:docPartObj>
            <w:docPartGallery w:val="Page Numbers (Top of Page)"/>
            <w:docPartUnique/>
          </w:docPartObj>
        </w:sdtPr>
        <w:sdtEndPr/>
        <w:sdtContent>
          <w:p w14:paraId="2789ADDC" w14:textId="11B6BEA4" w:rsidR="00FD5B6F" w:rsidRPr="00F55BFF" w:rsidRDefault="00F55BFF" w:rsidP="00F55BFF">
            <w:pPr>
              <w:pStyle w:val="Footer"/>
              <w:rPr>
                <w:sz w:val="20"/>
                <w:szCs w:val="20"/>
              </w:rPr>
            </w:pPr>
            <w:r w:rsidRPr="009E38AC">
              <w:rPr>
                <w:i/>
                <w:sz w:val="20"/>
                <w:szCs w:val="20"/>
              </w:rPr>
              <w:t>CB-LSOP-Template-Nov 2017</w:t>
            </w:r>
            <w:r w:rsidRPr="009E38AC">
              <w:rPr>
                <w:i/>
                <w:sz w:val="20"/>
                <w:szCs w:val="20"/>
              </w:rPr>
              <w:tab/>
            </w:r>
            <w:r w:rsidRPr="009E38AC">
              <w:rPr>
                <w:i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9E38AC">
                  <w:rPr>
                    <w:sz w:val="20"/>
                    <w:szCs w:val="20"/>
                  </w:rPr>
                  <w:t xml:space="preserve">                                                                                   Page </w:t>
                </w:r>
                <w:r w:rsidRPr="009E38AC">
                  <w:rPr>
                    <w:bCs/>
                    <w:sz w:val="20"/>
                    <w:szCs w:val="20"/>
                  </w:rPr>
                  <w:fldChar w:fldCharType="begin"/>
                </w:r>
                <w:r w:rsidRPr="009E38AC">
                  <w:rPr>
                    <w:bCs/>
                    <w:sz w:val="20"/>
                    <w:szCs w:val="20"/>
                  </w:rPr>
                  <w:instrText xml:space="preserve"> PAGE </w:instrText>
                </w:r>
                <w:r w:rsidRPr="009E38AC">
                  <w:rPr>
                    <w:bCs/>
                    <w:sz w:val="20"/>
                    <w:szCs w:val="20"/>
                  </w:rPr>
                  <w:fldChar w:fldCharType="separate"/>
                </w:r>
                <w:r w:rsidR="00FD4EFD">
                  <w:rPr>
                    <w:bCs/>
                    <w:noProof/>
                    <w:sz w:val="20"/>
                    <w:szCs w:val="20"/>
                  </w:rPr>
                  <w:t>1</w:t>
                </w:r>
                <w:r w:rsidRPr="009E38AC">
                  <w:rPr>
                    <w:bCs/>
                    <w:sz w:val="20"/>
                    <w:szCs w:val="20"/>
                  </w:rPr>
                  <w:fldChar w:fldCharType="end"/>
                </w:r>
                <w:r w:rsidRPr="009E38AC">
                  <w:rPr>
                    <w:sz w:val="20"/>
                    <w:szCs w:val="20"/>
                  </w:rPr>
                  <w:t xml:space="preserve"> of </w:t>
                </w:r>
                <w:r w:rsidRPr="009E38AC">
                  <w:rPr>
                    <w:bCs/>
                    <w:sz w:val="20"/>
                    <w:szCs w:val="20"/>
                  </w:rPr>
                  <w:fldChar w:fldCharType="begin"/>
                </w:r>
                <w:r w:rsidRPr="009E38AC">
                  <w:rPr>
                    <w:bCs/>
                    <w:sz w:val="20"/>
                    <w:szCs w:val="20"/>
                  </w:rPr>
                  <w:instrText xml:space="preserve"> NUMPAGES  </w:instrText>
                </w:r>
                <w:r w:rsidRPr="009E38AC">
                  <w:rPr>
                    <w:bCs/>
                    <w:sz w:val="20"/>
                    <w:szCs w:val="20"/>
                  </w:rPr>
                  <w:fldChar w:fldCharType="separate"/>
                </w:r>
                <w:r w:rsidR="00FD4EFD">
                  <w:rPr>
                    <w:bCs/>
                    <w:noProof/>
                    <w:sz w:val="20"/>
                    <w:szCs w:val="20"/>
                  </w:rPr>
                  <w:t>1</w:t>
                </w:r>
                <w:r w:rsidRPr="009E38AC">
                  <w:rPr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DC05" w14:textId="77777777" w:rsidR="0058190D" w:rsidRDefault="0058190D" w:rsidP="00F47BA4">
      <w:pPr>
        <w:spacing w:after="0" w:line="240" w:lineRule="auto"/>
      </w:pPr>
      <w:r>
        <w:separator/>
      </w:r>
    </w:p>
  </w:footnote>
  <w:footnote w:type="continuationSeparator" w:id="0">
    <w:p w14:paraId="790BB228" w14:textId="77777777" w:rsidR="0058190D" w:rsidRDefault="0058190D" w:rsidP="00F4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B7DA" w14:textId="77777777" w:rsidR="00FD5B6F" w:rsidRPr="00F47BA4" w:rsidRDefault="00FD5B6F" w:rsidP="00F47BA4">
    <w:pPr>
      <w:pStyle w:val="Header"/>
      <w:tabs>
        <w:tab w:val="clear" w:pos="4680"/>
        <w:tab w:val="clear" w:pos="9360"/>
        <w:tab w:val="right" w:pos="10170"/>
      </w:tabs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DAC5" w14:textId="17A422FE" w:rsidR="00FD5B6F" w:rsidRPr="004D7DE1" w:rsidRDefault="00FD5B6F" w:rsidP="00630E7B">
    <w:pPr>
      <w:tabs>
        <w:tab w:val="center" w:pos="4680"/>
        <w:tab w:val="right" w:pos="9360"/>
      </w:tabs>
      <w:spacing w:after="0" w:line="240" w:lineRule="auto"/>
    </w:pPr>
    <w:r w:rsidRPr="00630E7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6C46D" wp14:editId="1AE5F11E">
              <wp:simplePos x="0" y="0"/>
              <wp:positionH relativeFrom="column">
                <wp:posOffset>3450894</wp:posOffset>
              </wp:positionH>
              <wp:positionV relativeFrom="paragraph">
                <wp:posOffset>-55880</wp:posOffset>
              </wp:positionV>
              <wp:extent cx="3438525" cy="848995"/>
              <wp:effectExtent l="0" t="0" r="317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8525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14D494" w14:textId="77777777" w:rsidR="00FD5B6F" w:rsidRPr="00BF4C67" w:rsidRDefault="00FD5B6F" w:rsidP="002B1DB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</w:pPr>
                          <w:r w:rsidRPr="00BF4C67"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  <w:t xml:space="preserve">Policies, Programs </w:t>
                          </w:r>
                        </w:p>
                        <w:p w14:paraId="512BF2F4" w14:textId="77777777" w:rsidR="00FD5B6F" w:rsidRPr="00630E7B" w:rsidRDefault="00FD5B6F" w:rsidP="002B1DB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Arial"/>
                              <w:color w:val="808080"/>
                              <w:sz w:val="36"/>
                              <w:szCs w:val="36"/>
                            </w:rPr>
                          </w:pPr>
                          <w:r w:rsidRPr="00BF4C67"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  <w:t>and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6C4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1.7pt;margin-top:-4.4pt;width:270.7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" fillcolor="window" stroked="f" strokeweight=".5pt">
              <v:textbox>
                <w:txbxContent>
                  <w:p w14:paraId="0314D494" w14:textId="77777777" w:rsidR="00FD5B6F" w:rsidRPr="00BF4C67" w:rsidRDefault="00FD5B6F" w:rsidP="002B1DB7">
                    <w:pPr>
                      <w:spacing w:after="0" w:line="240" w:lineRule="auto"/>
                      <w:jc w:val="right"/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</w:pPr>
                    <w:r w:rsidRPr="00BF4C67"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  <w:t xml:space="preserve">Policies, Programs </w:t>
                    </w:r>
                  </w:p>
                  <w:p w14:paraId="512BF2F4" w14:textId="77777777" w:rsidR="00FD5B6F" w:rsidRPr="00630E7B" w:rsidRDefault="00FD5B6F" w:rsidP="002B1DB7">
                    <w:pPr>
                      <w:spacing w:after="0" w:line="240" w:lineRule="auto"/>
                      <w:jc w:val="right"/>
                      <w:rPr>
                        <w:rFonts w:ascii="Cambria" w:hAnsi="Cambria" w:cs="Arial"/>
                        <w:color w:val="808080"/>
                        <w:sz w:val="36"/>
                        <w:szCs w:val="36"/>
                      </w:rPr>
                    </w:pPr>
                    <w:r w:rsidRPr="00BF4C67"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  <w:t>and Procedures</w:t>
                    </w:r>
                  </w:p>
                </w:txbxContent>
              </v:textbox>
            </v:shape>
          </w:pict>
        </mc:Fallback>
      </mc:AlternateContent>
    </w:r>
    <w:r w:rsidRPr="00630E7B">
      <w:rPr>
        <w:noProof/>
      </w:rPr>
      <w:drawing>
        <wp:inline distT="0" distB="0" distL="0" distR="0" wp14:anchorId="6DD00347" wp14:editId="601AA604">
          <wp:extent cx="1311910" cy="389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DE1">
      <w:tab/>
    </w:r>
    <w:r w:rsidR="004D7DE1"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89D"/>
    <w:multiLevelType w:val="hybridMultilevel"/>
    <w:tmpl w:val="3B28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04EC"/>
    <w:multiLevelType w:val="hybridMultilevel"/>
    <w:tmpl w:val="054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0C0"/>
    <w:multiLevelType w:val="hybridMultilevel"/>
    <w:tmpl w:val="A808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34E3"/>
    <w:multiLevelType w:val="hybridMultilevel"/>
    <w:tmpl w:val="8D2A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572F1"/>
    <w:multiLevelType w:val="hybridMultilevel"/>
    <w:tmpl w:val="9AB6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DB8"/>
    <w:multiLevelType w:val="multilevel"/>
    <w:tmpl w:val="E50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7C064E"/>
    <w:multiLevelType w:val="multilevel"/>
    <w:tmpl w:val="0140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57B5B"/>
    <w:multiLevelType w:val="hybridMultilevel"/>
    <w:tmpl w:val="463E065A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442"/>
    <w:multiLevelType w:val="hybridMultilevel"/>
    <w:tmpl w:val="5170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1BF"/>
    <w:multiLevelType w:val="hybridMultilevel"/>
    <w:tmpl w:val="EC88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433D"/>
    <w:multiLevelType w:val="hybridMultilevel"/>
    <w:tmpl w:val="6B6A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B1E86"/>
    <w:multiLevelType w:val="hybridMultilevel"/>
    <w:tmpl w:val="7262BE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B1045"/>
    <w:multiLevelType w:val="hybridMultilevel"/>
    <w:tmpl w:val="B0E03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743E3"/>
    <w:multiLevelType w:val="hybridMultilevel"/>
    <w:tmpl w:val="4B60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91B4F"/>
    <w:multiLevelType w:val="hybridMultilevel"/>
    <w:tmpl w:val="8D2A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D2DA2"/>
    <w:multiLevelType w:val="hybridMultilevel"/>
    <w:tmpl w:val="99A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F2B19"/>
    <w:multiLevelType w:val="hybridMultilevel"/>
    <w:tmpl w:val="54F4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917"/>
    <w:multiLevelType w:val="hybridMultilevel"/>
    <w:tmpl w:val="EF704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85CD9"/>
    <w:multiLevelType w:val="hybridMultilevel"/>
    <w:tmpl w:val="93A0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6A1B"/>
    <w:multiLevelType w:val="hybridMultilevel"/>
    <w:tmpl w:val="CFB6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DB23C9"/>
    <w:multiLevelType w:val="hybridMultilevel"/>
    <w:tmpl w:val="0452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113E1"/>
    <w:multiLevelType w:val="hybridMultilevel"/>
    <w:tmpl w:val="B66A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F2420"/>
    <w:multiLevelType w:val="hybridMultilevel"/>
    <w:tmpl w:val="0D642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7A0FD0"/>
    <w:multiLevelType w:val="hybridMultilevel"/>
    <w:tmpl w:val="88F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94985"/>
    <w:multiLevelType w:val="hybridMultilevel"/>
    <w:tmpl w:val="75C4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A0AA5"/>
    <w:multiLevelType w:val="hybridMultilevel"/>
    <w:tmpl w:val="F844F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A4DA7"/>
    <w:multiLevelType w:val="hybridMultilevel"/>
    <w:tmpl w:val="82F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64837"/>
    <w:multiLevelType w:val="hybridMultilevel"/>
    <w:tmpl w:val="39F4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93D3A"/>
    <w:multiLevelType w:val="hybridMultilevel"/>
    <w:tmpl w:val="2D12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03E04"/>
    <w:multiLevelType w:val="hybridMultilevel"/>
    <w:tmpl w:val="AFF03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56731B"/>
    <w:multiLevelType w:val="hybridMultilevel"/>
    <w:tmpl w:val="68D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25"/>
  </w:num>
  <w:num w:numId="10">
    <w:abstractNumId w:val="22"/>
  </w:num>
  <w:num w:numId="11">
    <w:abstractNumId w:val="16"/>
  </w:num>
  <w:num w:numId="12">
    <w:abstractNumId w:val="30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  <w:num w:numId="17">
    <w:abstractNumId w:val="17"/>
  </w:num>
  <w:num w:numId="18">
    <w:abstractNumId w:val="3"/>
  </w:num>
  <w:num w:numId="19">
    <w:abstractNumId w:val="9"/>
  </w:num>
  <w:num w:numId="20">
    <w:abstractNumId w:val="0"/>
  </w:num>
  <w:num w:numId="21">
    <w:abstractNumId w:val="18"/>
  </w:num>
  <w:num w:numId="22">
    <w:abstractNumId w:val="2"/>
  </w:num>
  <w:num w:numId="23">
    <w:abstractNumId w:val="4"/>
  </w:num>
  <w:num w:numId="24">
    <w:abstractNumId w:val="21"/>
  </w:num>
  <w:num w:numId="25">
    <w:abstractNumId w:val="20"/>
  </w:num>
  <w:num w:numId="26">
    <w:abstractNumId w:val="26"/>
  </w:num>
  <w:num w:numId="27">
    <w:abstractNumId w:val="1"/>
  </w:num>
  <w:num w:numId="28">
    <w:abstractNumId w:val="24"/>
  </w:num>
  <w:num w:numId="29">
    <w:abstractNumId w:val="10"/>
  </w:num>
  <w:num w:numId="30">
    <w:abstractNumId w:val="13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kIDS1NjYwtLUyMDAyUdpeDU4uLM/DyQAqNaADCkyFEsAAAA"/>
  </w:docVars>
  <w:rsids>
    <w:rsidRoot w:val="00760B00"/>
    <w:rsid w:val="0000125A"/>
    <w:rsid w:val="000045BC"/>
    <w:rsid w:val="00012B2D"/>
    <w:rsid w:val="00035807"/>
    <w:rsid w:val="000570F1"/>
    <w:rsid w:val="000630A4"/>
    <w:rsid w:val="00093F40"/>
    <w:rsid w:val="000B16A3"/>
    <w:rsid w:val="00105131"/>
    <w:rsid w:val="00113202"/>
    <w:rsid w:val="0011390D"/>
    <w:rsid w:val="001409F1"/>
    <w:rsid w:val="00155ADB"/>
    <w:rsid w:val="001711BA"/>
    <w:rsid w:val="00174A02"/>
    <w:rsid w:val="00181E6C"/>
    <w:rsid w:val="00190254"/>
    <w:rsid w:val="001B35D5"/>
    <w:rsid w:val="001B37E5"/>
    <w:rsid w:val="001C59EE"/>
    <w:rsid w:val="00202ED1"/>
    <w:rsid w:val="00203D89"/>
    <w:rsid w:val="002111F0"/>
    <w:rsid w:val="0022275C"/>
    <w:rsid w:val="00230C36"/>
    <w:rsid w:val="00231E02"/>
    <w:rsid w:val="00235706"/>
    <w:rsid w:val="00241FD1"/>
    <w:rsid w:val="0025044C"/>
    <w:rsid w:val="002521BB"/>
    <w:rsid w:val="002561C3"/>
    <w:rsid w:val="00273283"/>
    <w:rsid w:val="002B1DB7"/>
    <w:rsid w:val="002E52BF"/>
    <w:rsid w:val="00302DE4"/>
    <w:rsid w:val="00343259"/>
    <w:rsid w:val="00344D3F"/>
    <w:rsid w:val="00352B89"/>
    <w:rsid w:val="003603B7"/>
    <w:rsid w:val="00362737"/>
    <w:rsid w:val="00370010"/>
    <w:rsid w:val="00372EFD"/>
    <w:rsid w:val="00391962"/>
    <w:rsid w:val="00397C7C"/>
    <w:rsid w:val="003B3C76"/>
    <w:rsid w:val="003D78C0"/>
    <w:rsid w:val="004074D6"/>
    <w:rsid w:val="00417B69"/>
    <w:rsid w:val="00427210"/>
    <w:rsid w:val="00454B4E"/>
    <w:rsid w:val="00456C66"/>
    <w:rsid w:val="00461004"/>
    <w:rsid w:val="00466E18"/>
    <w:rsid w:val="00481C75"/>
    <w:rsid w:val="00482C81"/>
    <w:rsid w:val="004A0961"/>
    <w:rsid w:val="004D2752"/>
    <w:rsid w:val="004D48FE"/>
    <w:rsid w:val="004D7938"/>
    <w:rsid w:val="004D7DE1"/>
    <w:rsid w:val="004F7A77"/>
    <w:rsid w:val="00510912"/>
    <w:rsid w:val="00512C43"/>
    <w:rsid w:val="00517B30"/>
    <w:rsid w:val="00565DB1"/>
    <w:rsid w:val="00572E92"/>
    <w:rsid w:val="0058190D"/>
    <w:rsid w:val="00595E1A"/>
    <w:rsid w:val="005A63AD"/>
    <w:rsid w:val="005A7FCC"/>
    <w:rsid w:val="005B4023"/>
    <w:rsid w:val="005B5F6D"/>
    <w:rsid w:val="0060252D"/>
    <w:rsid w:val="00607077"/>
    <w:rsid w:val="00630E7B"/>
    <w:rsid w:val="0063402F"/>
    <w:rsid w:val="006405D4"/>
    <w:rsid w:val="00665470"/>
    <w:rsid w:val="00686B12"/>
    <w:rsid w:val="006A7C58"/>
    <w:rsid w:val="006A7E07"/>
    <w:rsid w:val="006E441A"/>
    <w:rsid w:val="00705A23"/>
    <w:rsid w:val="0071240A"/>
    <w:rsid w:val="00713361"/>
    <w:rsid w:val="00760B00"/>
    <w:rsid w:val="00774502"/>
    <w:rsid w:val="00786CF4"/>
    <w:rsid w:val="007A12CD"/>
    <w:rsid w:val="007B71F9"/>
    <w:rsid w:val="007D4394"/>
    <w:rsid w:val="007E5EFC"/>
    <w:rsid w:val="008003A9"/>
    <w:rsid w:val="00821F4E"/>
    <w:rsid w:val="00835F4A"/>
    <w:rsid w:val="00842745"/>
    <w:rsid w:val="00843172"/>
    <w:rsid w:val="00864D2D"/>
    <w:rsid w:val="008D5B83"/>
    <w:rsid w:val="0091171A"/>
    <w:rsid w:val="00925070"/>
    <w:rsid w:val="009301CE"/>
    <w:rsid w:val="00947846"/>
    <w:rsid w:val="00954999"/>
    <w:rsid w:val="00960499"/>
    <w:rsid w:val="00983D3C"/>
    <w:rsid w:val="0098572B"/>
    <w:rsid w:val="009B3311"/>
    <w:rsid w:val="009C65C9"/>
    <w:rsid w:val="009F0B74"/>
    <w:rsid w:val="009F28F5"/>
    <w:rsid w:val="00A030D5"/>
    <w:rsid w:val="00A07683"/>
    <w:rsid w:val="00A12A39"/>
    <w:rsid w:val="00A17111"/>
    <w:rsid w:val="00A23588"/>
    <w:rsid w:val="00A274E1"/>
    <w:rsid w:val="00A31C67"/>
    <w:rsid w:val="00A522B6"/>
    <w:rsid w:val="00A718D0"/>
    <w:rsid w:val="00AC441D"/>
    <w:rsid w:val="00AE5261"/>
    <w:rsid w:val="00AF7AAF"/>
    <w:rsid w:val="00B25C2C"/>
    <w:rsid w:val="00B348D7"/>
    <w:rsid w:val="00B52E2A"/>
    <w:rsid w:val="00B6033D"/>
    <w:rsid w:val="00B84A25"/>
    <w:rsid w:val="00BE7B97"/>
    <w:rsid w:val="00BF4C67"/>
    <w:rsid w:val="00BF5985"/>
    <w:rsid w:val="00C013D2"/>
    <w:rsid w:val="00C06577"/>
    <w:rsid w:val="00C37F40"/>
    <w:rsid w:val="00C53104"/>
    <w:rsid w:val="00C67366"/>
    <w:rsid w:val="00C76674"/>
    <w:rsid w:val="00C85102"/>
    <w:rsid w:val="00C94DA5"/>
    <w:rsid w:val="00C96278"/>
    <w:rsid w:val="00CB2D2B"/>
    <w:rsid w:val="00CB3CBF"/>
    <w:rsid w:val="00CB54B6"/>
    <w:rsid w:val="00CD38FE"/>
    <w:rsid w:val="00CE5449"/>
    <w:rsid w:val="00CE75EA"/>
    <w:rsid w:val="00CE7607"/>
    <w:rsid w:val="00D04011"/>
    <w:rsid w:val="00D2620A"/>
    <w:rsid w:val="00D409EA"/>
    <w:rsid w:val="00D5755F"/>
    <w:rsid w:val="00D61BA2"/>
    <w:rsid w:val="00D61F7F"/>
    <w:rsid w:val="00D63B1D"/>
    <w:rsid w:val="00D74DAC"/>
    <w:rsid w:val="00D74F73"/>
    <w:rsid w:val="00DD48FB"/>
    <w:rsid w:val="00DE5088"/>
    <w:rsid w:val="00DF0237"/>
    <w:rsid w:val="00E14F85"/>
    <w:rsid w:val="00E4702C"/>
    <w:rsid w:val="00E47E7D"/>
    <w:rsid w:val="00E51A8A"/>
    <w:rsid w:val="00EA36FA"/>
    <w:rsid w:val="00ED7001"/>
    <w:rsid w:val="00EE3506"/>
    <w:rsid w:val="00EF1869"/>
    <w:rsid w:val="00F412E4"/>
    <w:rsid w:val="00F47BA4"/>
    <w:rsid w:val="00F55BFF"/>
    <w:rsid w:val="00F6512A"/>
    <w:rsid w:val="00F6708C"/>
    <w:rsid w:val="00F711C6"/>
    <w:rsid w:val="00F72EEE"/>
    <w:rsid w:val="00FA29C9"/>
    <w:rsid w:val="00FB43AD"/>
    <w:rsid w:val="00FC302C"/>
    <w:rsid w:val="00FD4EFD"/>
    <w:rsid w:val="00FD5B6F"/>
    <w:rsid w:val="00FE4014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15947"/>
  <w15:docId w15:val="{C388783C-10F1-4E49-BC56-A658FAD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6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4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F7F"/>
    <w:pPr>
      <w:autoSpaceDE w:val="0"/>
      <w:autoSpaceDN w:val="0"/>
      <w:adjustRightInd w:val="0"/>
      <w:spacing w:after="0" w:line="240" w:lineRule="auto"/>
    </w:pPr>
    <w:rPr>
      <w:rFonts w:ascii="Hoefler Text" w:hAnsi="Hoefler Text" w:cs="Hoefler Text"/>
      <w:color w:val="000000"/>
      <w:sz w:val="24"/>
      <w:szCs w:val="24"/>
    </w:rPr>
  </w:style>
  <w:style w:type="character" w:customStyle="1" w:styleId="A5">
    <w:name w:val="A5"/>
    <w:uiPriority w:val="99"/>
    <w:rsid w:val="00D61F7F"/>
    <w:rPr>
      <w:rFonts w:cs="Hoefler Text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61F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1F7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8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4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A4"/>
  </w:style>
  <w:style w:type="paragraph" w:styleId="Footer">
    <w:name w:val="footer"/>
    <w:basedOn w:val="Normal"/>
    <w:link w:val="FooterChar"/>
    <w:uiPriority w:val="99"/>
    <w:unhideWhenUsed/>
    <w:rsid w:val="00F4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A4"/>
  </w:style>
  <w:style w:type="paragraph" w:styleId="ListParagraph">
    <w:name w:val="List Paragraph"/>
    <w:basedOn w:val="Normal"/>
    <w:uiPriority w:val="34"/>
    <w:qFormat/>
    <w:rsid w:val="001139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A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uconn.edu/Chemical/?p=training" TargetMode="External"/><Relationship Id="rId13" Type="http://schemas.openxmlformats.org/officeDocument/2006/relationships/hyperlink" Target="http://policy.uconn.edu/2012/07/30/working-alone-policy/" TargetMode="External"/><Relationship Id="rId18" Type="http://schemas.openxmlformats.org/officeDocument/2006/relationships/hyperlink" Target="http://policy.uconn.edu/2011/05/19/health-and-safety-polic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olicy.uconn.edu/2012/07/30/working-alone-policy/" TargetMode="External"/><Relationship Id="rId17" Type="http://schemas.openxmlformats.org/officeDocument/2006/relationships/hyperlink" Target="http://ehs.uconn.edu/Chemical/ChemWasteDisp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hs.uconn.edu/Regulated%20Waste%20Management/index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.iitb.ac.in/chemical_approval/msds/314_msd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t&amp;rct=j&amp;q=&amp;esrc=s&amp;source=web&amp;cd=1&amp;ved=0ahUKEwiF3bPe1dPXAhVRRN8KHX4wDf4QFggmMAA&amp;url=https%3A%2F%2Fchemistry.uconn.edu%2Fwp-content%2Fuploads%2Fsites%2F1259%2F2015%2F09%2FIncident-Report-Form.doc&amp;usg=AOvVaw3Uov8IQ2Z-Ka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ishersci.com/shop/msdsproxy?storeId=10652&amp;productName=AC395925000" TargetMode="External"/><Relationship Id="rId19" Type="http://schemas.openxmlformats.org/officeDocument/2006/relationships/hyperlink" Target="http://policy.uconn.edu/2011/05/17/employee-code-of-condu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ds.com" TargetMode="External"/><Relationship Id="rId14" Type="http://schemas.openxmlformats.org/officeDocument/2006/relationships/hyperlink" Target="https://www.google.com/url?sa=t&amp;rct=j&amp;q=&amp;esrc=s&amp;source=web&amp;cd=1&amp;ved=0ahUKEwiF3bPe1dPXAhVRRN8KHX4wDf4QFggmMAA&amp;url=https%3A%2F%2Fchemistry.uconn.edu%2Fwp-content%2Fuploads%2Fsites%2F1259%2F2015%2F09%2FIncident-Report-Form.doc&amp;usg=AOvVaw3Uov8IQ2Z-Kan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sansalahewage:Dropbox:SOPs&amp;Safety-CB%20Group:Brueckner%20LSOPs:CB-LSOPTemplate-11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ADF6-2A62-F449-AC0C-DB0F10CF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Macintosh%20HD:Users:nisansalahewage:Dropbox:SOPs&amp;Safety-CB%20Group:Brueckner%20LSOPs:CB-LSOPTemplate-11-2017.dotx</Template>
  <TotalTime>243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Nisansala Hewage</dc:creator>
  <cp:keywords/>
  <dc:description/>
  <cp:lastModifiedBy>Christian Brückner</cp:lastModifiedBy>
  <cp:revision>21</cp:revision>
  <cp:lastPrinted>2017-11-21T15:48:00Z</cp:lastPrinted>
  <dcterms:created xsi:type="dcterms:W3CDTF">2017-11-21T17:00:00Z</dcterms:created>
  <dcterms:modified xsi:type="dcterms:W3CDTF">2018-04-18T00:21:00Z</dcterms:modified>
</cp:coreProperties>
</file>