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4"/>
        <w:gridCol w:w="5406"/>
      </w:tblGrid>
      <w:tr w:rsidR="004624FA" w14:paraId="3B2D2E2F" w14:textId="77777777" w:rsidTr="00245FB1">
        <w:trPr>
          <w:trHeight w:val="720"/>
          <w:jc w:val="center"/>
        </w:trPr>
        <w:tc>
          <w:tcPr>
            <w:tcW w:w="10530" w:type="dxa"/>
            <w:gridSpan w:val="2"/>
            <w:shd w:val="clear" w:color="auto" w:fill="10253F"/>
            <w:vAlign w:val="center"/>
          </w:tcPr>
          <w:p w14:paraId="0C372904" w14:textId="1EAA1462" w:rsidR="004624FA" w:rsidRPr="00D56F36" w:rsidRDefault="00262D21" w:rsidP="00FE4BDF">
            <w:pPr>
              <w:widowControl w:val="0"/>
              <w:spacing w:before="80" w:after="80" w:line="240" w:lineRule="auto"/>
              <w:jc w:val="center"/>
              <w:rPr>
                <w:rFonts w:ascii="Aparajita" w:eastAsia="Aparajita" w:hAnsi="Aparajita" w:cs="Aparajita"/>
                <w:b/>
                <w:color w:val="FFFFFF"/>
                <w:sz w:val="28"/>
                <w:szCs w:val="28"/>
              </w:rPr>
            </w:pPr>
            <w:r w:rsidRPr="00D56F36">
              <w:rPr>
                <w:rFonts w:ascii="Aparajita" w:eastAsia="Aparajita" w:hAnsi="Aparajita" w:cs="Aparajita"/>
                <w:b/>
                <w:color w:val="FFFFFF" w:themeColor="background1"/>
                <w:sz w:val="28"/>
                <w:szCs w:val="28"/>
              </w:rPr>
              <w:t xml:space="preserve">Brueckner Lab-Specific </w:t>
            </w:r>
            <w:r w:rsidRPr="00D56F36">
              <w:rPr>
                <w:rFonts w:ascii="Aparajita" w:eastAsia="Aparajita" w:hAnsi="Aparajita" w:cs="Aparajita"/>
                <w:b/>
                <w:color w:val="FFFFFF"/>
                <w:sz w:val="28"/>
                <w:szCs w:val="28"/>
              </w:rPr>
              <w:t>Standard Operating Procedure (LSOP)</w:t>
            </w:r>
            <w:r w:rsidR="00D56F36" w:rsidRPr="00D56F36">
              <w:rPr>
                <w:rFonts w:ascii="Aparajita" w:eastAsia="Aparajita" w:hAnsi="Aparajita" w:cs="Aparajita"/>
                <w:b/>
                <w:color w:val="FFFFFF"/>
                <w:sz w:val="28"/>
                <w:szCs w:val="28"/>
              </w:rPr>
              <w:br/>
              <w:t>Agilent 1100 High-Performance Liquid Chromatograph</w:t>
            </w:r>
          </w:p>
        </w:tc>
      </w:tr>
      <w:tr w:rsidR="004624FA" w14:paraId="06FEC836" w14:textId="77777777" w:rsidTr="00245FB1">
        <w:trPr>
          <w:trHeight w:val="420"/>
          <w:jc w:val="center"/>
        </w:trPr>
        <w:tc>
          <w:tcPr>
            <w:tcW w:w="10530" w:type="dxa"/>
            <w:gridSpan w:val="2"/>
            <w:shd w:val="clear" w:color="auto" w:fill="FFFFFF" w:themeFill="background1"/>
            <w:vAlign w:val="center"/>
          </w:tcPr>
          <w:p w14:paraId="4F518F99" w14:textId="2B6D851E" w:rsidR="004624FA" w:rsidRDefault="00262D21">
            <w:pPr>
              <w:widowControl w:val="0"/>
              <w:spacing w:after="0" w:line="240" w:lineRule="auto"/>
            </w:pPr>
            <w:r>
              <w:rPr>
                <w:b/>
              </w:rPr>
              <w:t>Principal Investigator</w:t>
            </w:r>
            <w:r w:rsidR="00621342">
              <w:rPr>
                <w:b/>
              </w:rPr>
              <w:t xml:space="preserve"> </w:t>
            </w:r>
            <w:r>
              <w:rPr>
                <w:b/>
              </w:rPr>
              <w:t>(PI):</w:t>
            </w:r>
            <w:r>
              <w:t xml:space="preserve"> Christian Brueckner</w:t>
            </w:r>
          </w:p>
        </w:tc>
      </w:tr>
      <w:tr w:rsidR="004624FA" w14:paraId="10A8E519" w14:textId="77777777" w:rsidTr="00245FB1">
        <w:trPr>
          <w:trHeight w:val="420"/>
          <w:jc w:val="center"/>
        </w:trPr>
        <w:tc>
          <w:tcPr>
            <w:tcW w:w="5124" w:type="dxa"/>
            <w:shd w:val="clear" w:color="auto" w:fill="FFFFFF" w:themeFill="background1"/>
            <w:vAlign w:val="center"/>
          </w:tcPr>
          <w:p w14:paraId="77537B1B" w14:textId="77777777" w:rsidR="004624FA" w:rsidRDefault="00262D21">
            <w:pPr>
              <w:widowControl w:val="0"/>
              <w:spacing w:after="0" w:line="240" w:lineRule="auto"/>
            </w:pPr>
            <w:r>
              <w:rPr>
                <w:b/>
              </w:rPr>
              <w:t>Building:</w:t>
            </w:r>
            <w:r>
              <w:t xml:space="preserve"> Chemistry</w:t>
            </w:r>
          </w:p>
        </w:tc>
        <w:tc>
          <w:tcPr>
            <w:tcW w:w="5406" w:type="dxa"/>
            <w:shd w:val="clear" w:color="auto" w:fill="FFFFFF" w:themeFill="background1"/>
            <w:vAlign w:val="center"/>
          </w:tcPr>
          <w:p w14:paraId="58A6C38D" w14:textId="77777777" w:rsidR="004624FA" w:rsidRDefault="00262D21">
            <w:pPr>
              <w:widowControl w:val="0"/>
              <w:spacing w:after="0" w:line="240" w:lineRule="auto"/>
            </w:pPr>
            <w:r>
              <w:rPr>
                <w:b/>
              </w:rPr>
              <w:t>Lab(s) Covered by LSOP:</w:t>
            </w:r>
            <w:r>
              <w:t xml:space="preserve"> R413/R415</w:t>
            </w:r>
          </w:p>
        </w:tc>
      </w:tr>
      <w:tr w:rsidR="004624FA" w14:paraId="367D696B" w14:textId="77777777" w:rsidTr="00245FB1">
        <w:trPr>
          <w:trHeight w:val="420"/>
          <w:jc w:val="center"/>
        </w:trPr>
        <w:tc>
          <w:tcPr>
            <w:tcW w:w="5124" w:type="dxa"/>
            <w:shd w:val="clear" w:color="auto" w:fill="FFFFFF" w:themeFill="background1"/>
            <w:vAlign w:val="center"/>
          </w:tcPr>
          <w:p w14:paraId="3A69A0A3" w14:textId="77777777" w:rsidR="004624FA" w:rsidRDefault="00262D21">
            <w:pPr>
              <w:widowControl w:val="0"/>
              <w:spacing w:after="0" w:line="240" w:lineRule="auto"/>
            </w:pPr>
            <w:r>
              <w:rPr>
                <w:b/>
              </w:rPr>
              <w:t>Department:</w:t>
            </w:r>
            <w:r>
              <w:t xml:space="preserve"> Chemistry</w:t>
            </w:r>
          </w:p>
        </w:tc>
        <w:tc>
          <w:tcPr>
            <w:tcW w:w="5406" w:type="dxa"/>
            <w:shd w:val="clear" w:color="auto" w:fill="FFFFFF" w:themeFill="background1"/>
            <w:vAlign w:val="center"/>
          </w:tcPr>
          <w:p w14:paraId="01445BAB" w14:textId="77777777" w:rsidR="004624FA" w:rsidRDefault="00262D21">
            <w:pPr>
              <w:widowControl w:val="0"/>
              <w:spacing w:after="0" w:line="240" w:lineRule="auto"/>
            </w:pPr>
            <w:r>
              <w:rPr>
                <w:b/>
              </w:rPr>
              <w:t>Lab Phone Number(s):</w:t>
            </w:r>
            <w:r>
              <w:t xml:space="preserve"> 6-6596/6-6598</w:t>
            </w:r>
          </w:p>
        </w:tc>
      </w:tr>
      <w:tr w:rsidR="004624FA" w14:paraId="4A3F3475" w14:textId="77777777" w:rsidTr="00245FB1">
        <w:trPr>
          <w:trHeight w:val="420"/>
          <w:jc w:val="center"/>
        </w:trPr>
        <w:tc>
          <w:tcPr>
            <w:tcW w:w="10530" w:type="dxa"/>
            <w:gridSpan w:val="2"/>
            <w:shd w:val="clear" w:color="auto" w:fill="000E2F"/>
            <w:vAlign w:val="center"/>
          </w:tcPr>
          <w:p w14:paraId="799AFF40" w14:textId="77777777" w:rsidR="004624FA" w:rsidRDefault="00262D21" w:rsidP="00D56F36">
            <w:pPr>
              <w:pStyle w:val="Heading1"/>
              <w:keepNext w:val="0"/>
              <w:keepLines w:val="0"/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SECTION 1 – HAZARDOUS CHEMICAL(S) or PROCESS(ES) and HAZARDS INVOLVED</w:t>
            </w:r>
          </w:p>
        </w:tc>
      </w:tr>
      <w:tr w:rsidR="004624FA" w14:paraId="5E242022" w14:textId="77777777" w:rsidTr="00245FB1">
        <w:trPr>
          <w:trHeight w:val="3645"/>
          <w:jc w:val="center"/>
        </w:trPr>
        <w:tc>
          <w:tcPr>
            <w:tcW w:w="10530" w:type="dxa"/>
            <w:gridSpan w:val="2"/>
            <w:shd w:val="clear" w:color="auto" w:fill="FFFFFF" w:themeFill="background1"/>
            <w:vAlign w:val="center"/>
          </w:tcPr>
          <w:p w14:paraId="6C4CFC4B" w14:textId="4DF7831B" w:rsidR="00621342" w:rsidRDefault="00621342" w:rsidP="00037949">
            <w:pPr>
              <w:numPr>
                <w:ilvl w:val="0"/>
                <w:numId w:val="17"/>
              </w:numPr>
              <w:spacing w:after="0" w:line="240" w:lineRule="auto"/>
            </w:pPr>
            <w:r>
              <w:t>Electrical instrument – electrocution risk</w:t>
            </w:r>
          </w:p>
          <w:p w14:paraId="4E856C91" w14:textId="751E2897" w:rsidR="66C37BB4" w:rsidRDefault="66C37BB4" w:rsidP="00037949">
            <w:pPr>
              <w:numPr>
                <w:ilvl w:val="0"/>
                <w:numId w:val="17"/>
              </w:numPr>
              <w:spacing w:after="0" w:line="240" w:lineRule="auto"/>
            </w:pPr>
            <w:r>
              <w:t>Aqueous solvent safety risks:</w:t>
            </w:r>
          </w:p>
          <w:p w14:paraId="7F321431" w14:textId="77B2F26E" w:rsidR="66C37BB4" w:rsidRDefault="66C37BB4" w:rsidP="00037949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color w:val="000000" w:themeColor="text1"/>
                <w:highlight w:val="white"/>
              </w:rPr>
            </w:pPr>
            <w:r w:rsidRPr="66C37BB4">
              <w:rPr>
                <w:highlight w:val="white"/>
              </w:rPr>
              <w:t>Respiratory irritants; corrosive to skin and eyes</w:t>
            </w:r>
          </w:p>
          <w:p w14:paraId="210E63EB" w14:textId="4016749D" w:rsidR="66C37BB4" w:rsidRDefault="66C37BB4" w:rsidP="00037949">
            <w:pPr>
              <w:numPr>
                <w:ilvl w:val="0"/>
                <w:numId w:val="17"/>
              </w:numPr>
              <w:spacing w:after="0" w:line="240" w:lineRule="auto"/>
            </w:pPr>
            <w:r>
              <w:t>Chlorinated solvent safety risks:</w:t>
            </w:r>
          </w:p>
          <w:p w14:paraId="6D1C2A38" w14:textId="164575E0" w:rsidR="66C37BB4" w:rsidRDefault="66C37BB4" w:rsidP="00037949">
            <w:pPr>
              <w:numPr>
                <w:ilvl w:val="1"/>
                <w:numId w:val="17"/>
              </w:numPr>
              <w:spacing w:after="0" w:line="240" w:lineRule="auto"/>
            </w:pPr>
            <w:r w:rsidRPr="66C37BB4">
              <w:rPr>
                <w:highlight w:val="white"/>
              </w:rPr>
              <w:t>Skin, eye, and respiratory irritants; carcinogenic; flammable; toxic</w:t>
            </w:r>
          </w:p>
          <w:p w14:paraId="1F8A1932" w14:textId="066BDD6E" w:rsidR="66C37BB4" w:rsidRDefault="66C37BB4" w:rsidP="00037949">
            <w:pPr>
              <w:numPr>
                <w:ilvl w:val="0"/>
                <w:numId w:val="17"/>
              </w:numPr>
              <w:spacing w:after="0" w:line="240" w:lineRule="auto"/>
            </w:pPr>
            <w:r>
              <w:t>Ester/Ketone/Aldehyde solvent safety risks:</w:t>
            </w:r>
          </w:p>
          <w:p w14:paraId="4841E211" w14:textId="14E1521E" w:rsidR="66C37BB4" w:rsidRDefault="66C37BB4" w:rsidP="00037949">
            <w:pPr>
              <w:numPr>
                <w:ilvl w:val="1"/>
                <w:numId w:val="17"/>
              </w:numPr>
              <w:spacing w:after="0" w:line="240" w:lineRule="auto"/>
            </w:pPr>
            <w:r w:rsidRPr="66C37BB4">
              <w:rPr>
                <w:highlight w:val="white"/>
              </w:rPr>
              <w:t>Skin, eye, and respiratory irritants; flammable; toxic</w:t>
            </w:r>
          </w:p>
          <w:p w14:paraId="3329BD93" w14:textId="7BB8B2F8" w:rsidR="66C37BB4" w:rsidRDefault="66C37BB4" w:rsidP="00037949">
            <w:pPr>
              <w:numPr>
                <w:ilvl w:val="0"/>
                <w:numId w:val="17"/>
              </w:numPr>
              <w:spacing w:after="0" w:line="240" w:lineRule="auto"/>
            </w:pPr>
            <w:r>
              <w:t>Alcohol/Glycol/Ether solvent safety risks:</w:t>
            </w:r>
          </w:p>
          <w:p w14:paraId="2141AA89" w14:textId="2027F748" w:rsidR="66C37BB4" w:rsidRDefault="66C37BB4" w:rsidP="00037949">
            <w:pPr>
              <w:numPr>
                <w:ilvl w:val="1"/>
                <w:numId w:val="17"/>
              </w:numPr>
              <w:spacing w:after="0" w:line="240" w:lineRule="auto"/>
              <w:rPr>
                <w:highlight w:val="white"/>
              </w:rPr>
            </w:pPr>
            <w:r w:rsidRPr="66C37BB4">
              <w:rPr>
                <w:highlight w:val="white"/>
              </w:rPr>
              <w:t>Low flash points; explosive; flammable; skin, eye, and respiratory irritants</w:t>
            </w:r>
          </w:p>
          <w:p w14:paraId="75CC503B" w14:textId="69871EEC" w:rsidR="004624FA" w:rsidRDefault="66C37BB4" w:rsidP="00037949">
            <w:pPr>
              <w:widowControl w:val="0"/>
              <w:numPr>
                <w:ilvl w:val="0"/>
                <w:numId w:val="17"/>
              </w:numPr>
              <w:spacing w:after="0" w:line="240" w:lineRule="auto"/>
            </w:pPr>
            <w:r>
              <w:t>Aliphatic solvent safety risks</w:t>
            </w:r>
          </w:p>
          <w:p w14:paraId="384E8655" w14:textId="5DBD14C1" w:rsidR="66C37BB4" w:rsidRDefault="66C37BB4" w:rsidP="00037949">
            <w:pPr>
              <w:numPr>
                <w:ilvl w:val="1"/>
                <w:numId w:val="17"/>
              </w:numPr>
              <w:spacing w:after="0" w:line="240" w:lineRule="auto"/>
            </w:pPr>
            <w:r>
              <w:t>Skin, eye, and respiratory irritants; may damage nervous system; flammable; flash fires and explosions</w:t>
            </w:r>
          </w:p>
          <w:p w14:paraId="01881F44" w14:textId="1E968355" w:rsidR="004624FA" w:rsidRDefault="66C37BB4" w:rsidP="00037949">
            <w:pPr>
              <w:widowControl w:val="0"/>
              <w:numPr>
                <w:ilvl w:val="0"/>
                <w:numId w:val="17"/>
              </w:numPr>
              <w:spacing w:after="0" w:line="240" w:lineRule="auto"/>
            </w:pPr>
            <w:r>
              <w:t>Pressurized liquids can cause physical eye damage if hit by a high-pressure stream</w:t>
            </w:r>
          </w:p>
        </w:tc>
      </w:tr>
      <w:tr w:rsidR="004624FA" w14:paraId="149B6FBC" w14:textId="77777777" w:rsidTr="00245FB1">
        <w:trPr>
          <w:trHeight w:val="420"/>
          <w:jc w:val="center"/>
        </w:trPr>
        <w:tc>
          <w:tcPr>
            <w:tcW w:w="10530" w:type="dxa"/>
            <w:gridSpan w:val="2"/>
            <w:shd w:val="clear" w:color="auto" w:fill="000E2F"/>
            <w:vAlign w:val="center"/>
          </w:tcPr>
          <w:p w14:paraId="2AF1AD8B" w14:textId="77777777" w:rsidR="004624FA" w:rsidRDefault="00262D21" w:rsidP="00D56F36">
            <w:pPr>
              <w:pStyle w:val="Heading1"/>
              <w:keepNext w:val="0"/>
              <w:keepLines w:val="0"/>
              <w:spacing w:before="80" w:after="8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SECTION 2 – ADMINISTRATIVE CONTROLS</w:t>
            </w:r>
          </w:p>
        </w:tc>
      </w:tr>
      <w:tr w:rsidR="004624FA" w14:paraId="08E5F3EE" w14:textId="77777777" w:rsidTr="00245FB1">
        <w:trPr>
          <w:trHeight w:val="3842"/>
          <w:jc w:val="center"/>
        </w:trPr>
        <w:tc>
          <w:tcPr>
            <w:tcW w:w="10530" w:type="dxa"/>
            <w:gridSpan w:val="2"/>
            <w:shd w:val="clear" w:color="auto" w:fill="FFFFFF" w:themeFill="background1"/>
            <w:vAlign w:val="center"/>
          </w:tcPr>
          <w:p w14:paraId="2A1A48A7" w14:textId="77777777" w:rsidR="004624FA" w:rsidRDefault="00262D21" w:rsidP="00037949">
            <w:pPr>
              <w:widowControl w:val="0"/>
              <w:spacing w:after="0" w:line="240" w:lineRule="auto"/>
            </w:pPr>
            <w:r>
              <w:t>List the administrative controls in place to limit exposure</w:t>
            </w:r>
            <w:r w:rsidR="00FE4BDF">
              <w:t>:</w:t>
            </w:r>
          </w:p>
          <w:p w14:paraId="4D6201D6" w14:textId="77777777" w:rsidR="004624FA" w:rsidRDefault="00262D21" w:rsidP="00037949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</w:pPr>
            <w:r>
              <w:t>Anyone using the chemicals and procedures described herein needs to have undergone the annual EH&amp;S Chemical Hygiene Training</w:t>
            </w:r>
            <w:r w:rsidR="00FE4BDF">
              <w:t xml:space="preserve">: </w:t>
            </w:r>
            <w:hyperlink r:id="rId7" w:history="1">
              <w:r w:rsidR="00966F70" w:rsidRPr="009254A8">
                <w:rPr>
                  <w:rStyle w:val="Hyperlink"/>
                </w:rPr>
                <w:t>http://www.ehs.uconn.edu/Chemical/?p=training</w:t>
              </w:r>
            </w:hyperlink>
          </w:p>
          <w:p w14:paraId="43ED6069" w14:textId="77777777" w:rsidR="004624FA" w:rsidRDefault="00262D21" w:rsidP="00037949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</w:pPr>
            <w:r>
              <w:t xml:space="preserve">Anyone using the chemicals and procedures described herein need to be aware of the applicable safety data sheets (MSDS)?  </w:t>
            </w:r>
          </w:p>
          <w:p w14:paraId="049864AE" w14:textId="77777777" w:rsidR="004624FA" w:rsidRDefault="00901F8E" w:rsidP="00037949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highlight w:val="white"/>
              </w:rPr>
            </w:pPr>
            <w:hyperlink r:id="rId8">
              <w:r w:rsidR="00262D21">
                <w:rPr>
                  <w:color w:val="0563C1"/>
                  <w:u w:val="single"/>
                </w:rPr>
                <w:t>Working Alone</w:t>
              </w:r>
            </w:hyperlink>
            <w:r w:rsidR="00262D21">
              <w:t xml:space="preserve"> is not permitted when using chemicals or processes described in the LSOP.</w:t>
            </w:r>
          </w:p>
          <w:p w14:paraId="655B1417" w14:textId="77777777" w:rsidR="004624FA" w:rsidRDefault="00262D21" w:rsidP="00037949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</w:pPr>
            <w:r>
              <w:t>The Agilent 1100 Series is programed to automatically stop if a problem is encountered; however the user should also be weary of the following to prevent possible damage to the machine/lab:</w:t>
            </w:r>
          </w:p>
          <w:p w14:paraId="721EAEFD" w14:textId="77777777" w:rsidR="004624FA" w:rsidRDefault="00262D21" w:rsidP="00037949">
            <w:pPr>
              <w:widowControl w:val="0"/>
              <w:numPr>
                <w:ilvl w:val="1"/>
                <w:numId w:val="3"/>
              </w:numPr>
              <w:spacing w:after="0" w:line="240" w:lineRule="auto"/>
              <w:contextualSpacing/>
            </w:pPr>
            <w:r>
              <w:t>Leaks</w:t>
            </w:r>
          </w:p>
          <w:p w14:paraId="1E2C0AAF" w14:textId="77777777" w:rsidR="004624FA" w:rsidRDefault="000A0118" w:rsidP="00037949">
            <w:pPr>
              <w:widowControl w:val="0"/>
              <w:numPr>
                <w:ilvl w:val="1"/>
                <w:numId w:val="3"/>
              </w:numPr>
              <w:spacing w:after="0" w:line="240" w:lineRule="auto"/>
              <w:contextualSpacing/>
            </w:pPr>
            <w:r>
              <w:t>Pressures exceeding 200 bar</w:t>
            </w:r>
          </w:p>
          <w:p w14:paraId="1AA2AF46" w14:textId="77777777" w:rsidR="004624FA" w:rsidRDefault="00262D21" w:rsidP="00037949">
            <w:pPr>
              <w:widowControl w:val="0"/>
              <w:numPr>
                <w:ilvl w:val="1"/>
                <w:numId w:val="3"/>
              </w:numPr>
              <w:spacing w:after="0" w:line="240" w:lineRule="auto"/>
              <w:contextualSpacing/>
            </w:pPr>
            <w:r>
              <w:t>Waste tubing directed into a waste container</w:t>
            </w:r>
            <w:r w:rsidR="000A0118">
              <w:t xml:space="preserve"> to avoid floods</w:t>
            </w:r>
          </w:p>
          <w:p w14:paraId="6E2ABFC8" w14:textId="77777777" w:rsidR="004624FA" w:rsidRDefault="00262D21" w:rsidP="00037949">
            <w:pPr>
              <w:widowControl w:val="0"/>
              <w:numPr>
                <w:ilvl w:val="1"/>
                <w:numId w:val="3"/>
              </w:numPr>
              <w:spacing w:after="0" w:line="240" w:lineRule="auto"/>
              <w:contextualSpacing/>
            </w:pPr>
            <w:r>
              <w:t>Components of HPLC not working in unison</w:t>
            </w:r>
          </w:p>
          <w:p w14:paraId="790C5410" w14:textId="77777777" w:rsidR="000A0118" w:rsidRDefault="000A0118" w:rsidP="00037949">
            <w:pPr>
              <w:widowControl w:val="0"/>
              <w:numPr>
                <w:ilvl w:val="1"/>
                <w:numId w:val="3"/>
              </w:numPr>
              <w:spacing w:after="0" w:line="240" w:lineRule="auto"/>
              <w:contextualSpacing/>
            </w:pPr>
            <w:r>
              <w:t>Check waste containers to prevent overflow – empty waste containers regularly</w:t>
            </w:r>
          </w:p>
          <w:p w14:paraId="6901E61E" w14:textId="77777777" w:rsidR="004624FA" w:rsidRDefault="00262D21" w:rsidP="00037949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</w:pPr>
            <w:r>
              <w:t>An eyewash station should be in the vicinity of the HPLC</w:t>
            </w:r>
          </w:p>
        </w:tc>
      </w:tr>
      <w:tr w:rsidR="004624FA" w14:paraId="361C0D07" w14:textId="77777777" w:rsidTr="00245FB1">
        <w:trPr>
          <w:trHeight w:val="420"/>
          <w:jc w:val="center"/>
        </w:trPr>
        <w:tc>
          <w:tcPr>
            <w:tcW w:w="10530" w:type="dxa"/>
            <w:gridSpan w:val="2"/>
            <w:shd w:val="clear" w:color="auto" w:fill="000E2F"/>
            <w:vAlign w:val="center"/>
          </w:tcPr>
          <w:p w14:paraId="78CB9B91" w14:textId="77777777" w:rsidR="004624FA" w:rsidRDefault="00262D21" w:rsidP="00530586">
            <w:pPr>
              <w:pStyle w:val="Heading1"/>
              <w:keepLines w:val="0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SECTION 3- ENGINEERING CONTROLS</w:t>
            </w:r>
          </w:p>
        </w:tc>
      </w:tr>
      <w:tr w:rsidR="00530586" w14:paraId="2512015D" w14:textId="77777777" w:rsidTr="00245FB1">
        <w:trPr>
          <w:trHeight w:val="420"/>
          <w:jc w:val="center"/>
        </w:trPr>
        <w:tc>
          <w:tcPr>
            <w:tcW w:w="10530" w:type="dxa"/>
            <w:gridSpan w:val="2"/>
            <w:shd w:val="clear" w:color="auto" w:fill="auto"/>
            <w:vAlign w:val="center"/>
          </w:tcPr>
          <w:p w14:paraId="3ECB0CED" w14:textId="77777777" w:rsidR="00530586" w:rsidRPr="00530586" w:rsidRDefault="00530586" w:rsidP="00530586">
            <w:pPr>
              <w:pStyle w:val="Heading1"/>
              <w:numPr>
                <w:ilvl w:val="0"/>
                <w:numId w:val="7"/>
              </w:numPr>
              <w:spacing w:before="0"/>
              <w:rPr>
                <w:color w:val="000000" w:themeColor="text1"/>
                <w:sz w:val="22"/>
                <w:szCs w:val="22"/>
              </w:rPr>
            </w:pPr>
            <w:r w:rsidRPr="00530586">
              <w:rPr>
                <w:color w:val="000000" w:themeColor="text1"/>
                <w:sz w:val="22"/>
                <w:szCs w:val="22"/>
              </w:rPr>
              <w:t>Assure all electrical cords are in impeccable conditions</w:t>
            </w:r>
          </w:p>
          <w:p w14:paraId="0EBBA629" w14:textId="77777777" w:rsidR="00530586" w:rsidRPr="00530586" w:rsidRDefault="00530586" w:rsidP="00530586">
            <w:pPr>
              <w:pStyle w:val="Heading1"/>
              <w:numPr>
                <w:ilvl w:val="0"/>
                <w:numId w:val="7"/>
              </w:numPr>
              <w:spacing w:before="0"/>
              <w:rPr>
                <w:color w:val="000000" w:themeColor="text1"/>
                <w:sz w:val="22"/>
                <w:szCs w:val="22"/>
              </w:rPr>
            </w:pPr>
            <w:r w:rsidRPr="00530586">
              <w:rPr>
                <w:color w:val="000000" w:themeColor="text1"/>
                <w:sz w:val="22"/>
                <w:szCs w:val="22"/>
              </w:rPr>
              <w:t xml:space="preserve">Assure that all fitting </w:t>
            </w:r>
            <w:proofErr w:type="gramStart"/>
            <w:r w:rsidRPr="00530586">
              <w:rPr>
                <w:color w:val="000000" w:themeColor="text1"/>
                <w:sz w:val="22"/>
                <w:szCs w:val="22"/>
              </w:rPr>
              <w:t>are</w:t>
            </w:r>
            <w:proofErr w:type="gramEnd"/>
            <w:r w:rsidRPr="00530586">
              <w:rPr>
                <w:color w:val="000000" w:themeColor="text1"/>
                <w:sz w:val="22"/>
                <w:szCs w:val="22"/>
              </w:rPr>
              <w:t xml:space="preserve"> compatible with inlets they are connected to.</w:t>
            </w:r>
          </w:p>
          <w:p w14:paraId="4FE22000" w14:textId="77777777" w:rsidR="00530586" w:rsidRPr="00530586" w:rsidRDefault="00530586" w:rsidP="00530586">
            <w:pPr>
              <w:pStyle w:val="Heading1"/>
              <w:numPr>
                <w:ilvl w:val="0"/>
                <w:numId w:val="7"/>
              </w:numPr>
              <w:spacing w:before="0"/>
              <w:rPr>
                <w:color w:val="000000" w:themeColor="text1"/>
                <w:sz w:val="22"/>
                <w:szCs w:val="22"/>
              </w:rPr>
            </w:pPr>
            <w:r w:rsidRPr="00530586">
              <w:rPr>
                <w:color w:val="000000" w:themeColor="text1"/>
                <w:sz w:val="22"/>
                <w:szCs w:val="22"/>
              </w:rPr>
              <w:t>Tightly affix fittings to their corresponding inlets to reduce the risk of leaks.</w:t>
            </w:r>
          </w:p>
          <w:p w14:paraId="30F2872D" w14:textId="77777777" w:rsidR="00530586" w:rsidRPr="00530586" w:rsidRDefault="00530586" w:rsidP="00530586">
            <w:pPr>
              <w:pStyle w:val="Heading1"/>
              <w:numPr>
                <w:ilvl w:val="0"/>
                <w:numId w:val="7"/>
              </w:numPr>
              <w:spacing w:before="0"/>
              <w:rPr>
                <w:color w:val="000000" w:themeColor="text1"/>
                <w:sz w:val="22"/>
                <w:szCs w:val="22"/>
              </w:rPr>
            </w:pPr>
            <w:r w:rsidRPr="00530586">
              <w:rPr>
                <w:color w:val="000000" w:themeColor="text1"/>
                <w:sz w:val="22"/>
                <w:szCs w:val="22"/>
              </w:rPr>
              <w:t>Tightly screw the lids of all reservoir solvents to prevent solvent vapor from entering the lab.</w:t>
            </w:r>
          </w:p>
          <w:p w14:paraId="34BCED7D" w14:textId="77777777" w:rsidR="00530586" w:rsidRDefault="00530586" w:rsidP="00530586">
            <w:pPr>
              <w:pStyle w:val="Heading1"/>
              <w:numPr>
                <w:ilvl w:val="0"/>
                <w:numId w:val="7"/>
              </w:numPr>
              <w:spacing w:before="0"/>
              <w:rPr>
                <w:color w:val="000000" w:themeColor="text1"/>
                <w:sz w:val="22"/>
                <w:szCs w:val="22"/>
              </w:rPr>
            </w:pPr>
            <w:r w:rsidRPr="00530586">
              <w:rPr>
                <w:color w:val="000000" w:themeColor="text1"/>
                <w:sz w:val="22"/>
                <w:szCs w:val="22"/>
              </w:rPr>
              <w:t>Do not allow the pressure within the system to exceed 400 bar as high pressures can lead to leaks.</w:t>
            </w:r>
          </w:p>
          <w:p w14:paraId="147D46CE" w14:textId="4EEFAB8D" w:rsidR="00530586" w:rsidRPr="00530586" w:rsidRDefault="00530586" w:rsidP="00530586">
            <w:pPr>
              <w:pStyle w:val="Heading1"/>
              <w:numPr>
                <w:ilvl w:val="0"/>
                <w:numId w:val="7"/>
              </w:numPr>
              <w:spacing w:before="0"/>
              <w:rPr>
                <w:color w:val="000000" w:themeColor="text1"/>
                <w:sz w:val="22"/>
                <w:szCs w:val="22"/>
              </w:rPr>
            </w:pPr>
            <w:r w:rsidRPr="00530586">
              <w:rPr>
                <w:color w:val="000000" w:themeColor="text1"/>
                <w:sz w:val="22"/>
                <w:szCs w:val="22"/>
              </w:rPr>
              <w:t>The waste container should be placed within a secondary container.</w:t>
            </w:r>
          </w:p>
        </w:tc>
      </w:tr>
      <w:tr w:rsidR="004624FA" w:rsidRPr="00037949" w14:paraId="0B683DA9" w14:textId="77777777" w:rsidTr="00245FB1">
        <w:trPr>
          <w:trHeight w:val="486"/>
          <w:jc w:val="center"/>
        </w:trPr>
        <w:tc>
          <w:tcPr>
            <w:tcW w:w="10530" w:type="dxa"/>
            <w:gridSpan w:val="2"/>
            <w:shd w:val="clear" w:color="auto" w:fill="000E2F"/>
            <w:vAlign w:val="center"/>
          </w:tcPr>
          <w:p w14:paraId="13003E71" w14:textId="77777777" w:rsidR="004624FA" w:rsidRPr="00037949" w:rsidRDefault="00262D21" w:rsidP="00037949">
            <w:pPr>
              <w:pStyle w:val="Heading1"/>
              <w:keepLines w:val="0"/>
              <w:spacing w:before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SECTION 4 – WORK PRACTICES</w:t>
            </w:r>
          </w:p>
        </w:tc>
      </w:tr>
      <w:tr w:rsidR="004624FA" w14:paraId="43052C2F" w14:textId="77777777" w:rsidTr="00245FB1">
        <w:trPr>
          <w:trHeight w:val="3059"/>
          <w:jc w:val="center"/>
        </w:trPr>
        <w:tc>
          <w:tcPr>
            <w:tcW w:w="10530" w:type="dxa"/>
            <w:gridSpan w:val="2"/>
            <w:shd w:val="clear" w:color="auto" w:fill="FFFFFF" w:themeFill="background1"/>
            <w:vAlign w:val="center"/>
          </w:tcPr>
          <w:p w14:paraId="3E4DF556" w14:textId="7C27410B" w:rsidR="00621342" w:rsidRDefault="00621342" w:rsidP="00037949">
            <w:pPr>
              <w:pStyle w:val="Heading1"/>
              <w:keepNext w:val="0"/>
              <w:keepLines w:val="0"/>
              <w:widowControl w:val="0"/>
              <w:numPr>
                <w:ilvl w:val="0"/>
                <w:numId w:val="6"/>
              </w:numPr>
              <w:spacing w:before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 familiar with the solvents you are planning to use.</w:t>
            </w:r>
          </w:p>
          <w:p w14:paraId="3912303F" w14:textId="4FB5400B" w:rsidR="004624FA" w:rsidRDefault="00262D21" w:rsidP="00037949">
            <w:pPr>
              <w:pStyle w:val="Heading1"/>
              <w:keepNext w:val="0"/>
              <w:keepLines w:val="0"/>
              <w:widowControl w:val="0"/>
              <w:numPr>
                <w:ilvl w:val="0"/>
                <w:numId w:val="6"/>
              </w:numPr>
              <w:spacing w:before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Samples should be filter</w:t>
            </w:r>
            <w:r w:rsidR="00621342">
              <w:rPr>
                <w:color w:val="000000"/>
                <w:sz w:val="22"/>
                <w:szCs w:val="22"/>
              </w:rPr>
              <w:t>ed</w:t>
            </w:r>
            <w:r>
              <w:rPr>
                <w:color w:val="000000"/>
                <w:sz w:val="22"/>
                <w:szCs w:val="22"/>
              </w:rPr>
              <w:t xml:space="preserve"> through a </w:t>
            </w:r>
            <w:proofErr w:type="spellStart"/>
            <w:r>
              <w:rPr>
                <w:color w:val="000000"/>
                <w:sz w:val="22"/>
                <w:szCs w:val="22"/>
              </w:rPr>
              <w:t>microsyringe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0A0118">
              <w:rPr>
                <w:color w:val="000000"/>
                <w:sz w:val="22"/>
                <w:szCs w:val="22"/>
              </w:rPr>
              <w:t xml:space="preserve">filter </w:t>
            </w:r>
            <w:r>
              <w:rPr>
                <w:color w:val="000000"/>
                <w:sz w:val="22"/>
                <w:szCs w:val="22"/>
              </w:rPr>
              <w:t xml:space="preserve">prior to injection to </w:t>
            </w:r>
            <w:r w:rsidR="00621342">
              <w:rPr>
                <w:color w:val="000000"/>
                <w:sz w:val="22"/>
                <w:szCs w:val="22"/>
              </w:rPr>
              <w:t>prevent clogging of the machine</w:t>
            </w:r>
          </w:p>
          <w:p w14:paraId="09D1AF0A" w14:textId="3CB4BC96" w:rsidR="004624FA" w:rsidRDefault="00262D21" w:rsidP="00037949">
            <w:pPr>
              <w:numPr>
                <w:ilvl w:val="0"/>
                <w:numId w:val="6"/>
              </w:numPr>
              <w:spacing w:after="0" w:line="240" w:lineRule="auto"/>
            </w:pPr>
            <w:r>
              <w:t>All HPLC solvents should be filtered before stored in the reservoir to p</w:t>
            </w:r>
            <w:r w:rsidR="00621342">
              <w:t>revent clogging of the machine</w:t>
            </w:r>
          </w:p>
          <w:p w14:paraId="4C34D76B" w14:textId="77777777" w:rsidR="004624FA" w:rsidRDefault="00262D21" w:rsidP="00037949">
            <w:pPr>
              <w:pStyle w:val="Heading1"/>
              <w:keepNext w:val="0"/>
              <w:keepLines w:val="0"/>
              <w:widowControl w:val="0"/>
              <w:numPr>
                <w:ilvl w:val="0"/>
                <w:numId w:val="6"/>
              </w:numPr>
              <w:spacing w:before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 HPLC detectors must be on for a minimum of 15 minutes before use as to allow for proper heating of the lamps.</w:t>
            </w:r>
          </w:p>
          <w:p w14:paraId="2238F3F9" w14:textId="77777777" w:rsidR="004624FA" w:rsidRDefault="00262D21" w:rsidP="00037949">
            <w:pPr>
              <w:pStyle w:val="Heading1"/>
              <w:keepNext w:val="0"/>
              <w:keepLines w:val="0"/>
              <w:widowControl w:val="0"/>
              <w:numPr>
                <w:ilvl w:val="0"/>
                <w:numId w:val="6"/>
              </w:numPr>
              <w:spacing w:before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All </w:t>
            </w:r>
            <w:r w:rsidR="000A0118">
              <w:rPr>
                <w:color w:val="000000"/>
                <w:sz w:val="22"/>
                <w:szCs w:val="22"/>
              </w:rPr>
              <w:t xml:space="preserve">solvent lines </w:t>
            </w:r>
            <w:r>
              <w:rPr>
                <w:color w:val="000000"/>
                <w:sz w:val="22"/>
                <w:szCs w:val="22"/>
              </w:rPr>
              <w:t xml:space="preserve">must be </w:t>
            </w:r>
            <w:r w:rsidR="000A0118">
              <w:rPr>
                <w:color w:val="000000"/>
                <w:sz w:val="22"/>
                <w:szCs w:val="22"/>
              </w:rPr>
              <w:t>free of bubbles prior to usage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7DF45199" w14:textId="77777777" w:rsidR="004624FA" w:rsidRDefault="00262D21" w:rsidP="00037949">
            <w:pPr>
              <w:pStyle w:val="Heading1"/>
              <w:keepNext w:val="0"/>
              <w:keepLines w:val="0"/>
              <w:widowControl w:val="0"/>
              <w:numPr>
                <w:ilvl w:val="0"/>
                <w:numId w:val="6"/>
              </w:numPr>
              <w:spacing w:before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Prior to each run, the HPLC system should be washed for a minimum of 5 min with the initial solvent c</w:t>
            </w:r>
            <w:r w:rsidR="000A0118">
              <w:rPr>
                <w:color w:val="000000"/>
                <w:sz w:val="22"/>
                <w:szCs w:val="22"/>
              </w:rPr>
              <w:t>omposition of the upcoming run.</w:t>
            </w:r>
          </w:p>
          <w:p w14:paraId="20EB58FD" w14:textId="77777777" w:rsidR="004624FA" w:rsidRDefault="00262D21" w:rsidP="00037949">
            <w:pPr>
              <w:pStyle w:val="Heading1"/>
              <w:keepNext w:val="0"/>
              <w:keepLines w:val="0"/>
              <w:widowControl w:val="0"/>
              <w:numPr>
                <w:ilvl w:val="0"/>
                <w:numId w:val="6"/>
              </w:numPr>
              <w:spacing w:before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 fittings must be compatible with corresponding inlets, failure to comply will results in leaks.</w:t>
            </w:r>
          </w:p>
          <w:p w14:paraId="7FC1A5DE" w14:textId="77777777" w:rsidR="004624FA" w:rsidRDefault="00262D21" w:rsidP="00037949">
            <w:pPr>
              <w:pStyle w:val="Heading1"/>
              <w:keepNext w:val="0"/>
              <w:keepLines w:val="0"/>
              <w:widowControl w:val="0"/>
              <w:numPr>
                <w:ilvl w:val="0"/>
                <w:numId w:val="6"/>
              </w:numPr>
              <w:spacing w:before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 solvents stored on the solvent reservoir must be labeled regardless of whether the solvent is in use.</w:t>
            </w:r>
          </w:p>
        </w:tc>
      </w:tr>
      <w:tr w:rsidR="004624FA" w14:paraId="2BDE2AE3" w14:textId="77777777" w:rsidTr="00245FB1">
        <w:trPr>
          <w:trHeight w:val="526"/>
          <w:jc w:val="center"/>
        </w:trPr>
        <w:tc>
          <w:tcPr>
            <w:tcW w:w="10530" w:type="dxa"/>
            <w:gridSpan w:val="2"/>
            <w:shd w:val="clear" w:color="auto" w:fill="000E2F"/>
            <w:vAlign w:val="center"/>
          </w:tcPr>
          <w:p w14:paraId="387CEEB3" w14:textId="77777777" w:rsidR="004624FA" w:rsidRDefault="00262D21" w:rsidP="00037949">
            <w:pPr>
              <w:pStyle w:val="Heading1"/>
              <w:keepNext w:val="0"/>
              <w:keepLines w:val="0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SECTION 5 – PERSONAL PROTECTIVE EQUIPMENT (PPE)</w:t>
            </w:r>
          </w:p>
        </w:tc>
      </w:tr>
      <w:tr w:rsidR="004624FA" w14:paraId="380C157B" w14:textId="77777777" w:rsidTr="00245FB1">
        <w:trPr>
          <w:trHeight w:val="666"/>
          <w:jc w:val="center"/>
        </w:trPr>
        <w:tc>
          <w:tcPr>
            <w:tcW w:w="10530" w:type="dxa"/>
            <w:gridSpan w:val="2"/>
            <w:shd w:val="clear" w:color="auto" w:fill="FFFFFF" w:themeFill="background1"/>
            <w:vAlign w:val="center"/>
          </w:tcPr>
          <w:p w14:paraId="0520027C" w14:textId="7CB399BC" w:rsidR="004624FA" w:rsidRDefault="00262D21" w:rsidP="00D56F36">
            <w:pPr>
              <w:widowControl w:val="0"/>
              <w:numPr>
                <w:ilvl w:val="0"/>
                <w:numId w:val="10"/>
              </w:numPr>
              <w:spacing w:before="80" w:after="80" w:line="240" w:lineRule="auto"/>
              <w:contextualSpacing/>
            </w:pPr>
            <w:r>
              <w:t xml:space="preserve">At a minimum, a lab coat, </w:t>
            </w:r>
            <w:r w:rsidR="00621342">
              <w:t xml:space="preserve">nitrile </w:t>
            </w:r>
            <w:r>
              <w:t>gloves, long pants, closed-toed footwear, and chemical safety glasses that meet ANSI standard Z-87.1 must be worn.</w:t>
            </w:r>
          </w:p>
        </w:tc>
      </w:tr>
      <w:tr w:rsidR="004624FA" w14:paraId="30B01C6C" w14:textId="77777777" w:rsidTr="00245FB1">
        <w:trPr>
          <w:trHeight w:val="420"/>
          <w:jc w:val="center"/>
        </w:trPr>
        <w:tc>
          <w:tcPr>
            <w:tcW w:w="10530" w:type="dxa"/>
            <w:gridSpan w:val="2"/>
            <w:shd w:val="clear" w:color="auto" w:fill="000E2F"/>
            <w:vAlign w:val="center"/>
          </w:tcPr>
          <w:p w14:paraId="42A0DFA2" w14:textId="77777777" w:rsidR="004624FA" w:rsidRDefault="00262D21" w:rsidP="00037949">
            <w:pPr>
              <w:pStyle w:val="Heading1"/>
              <w:keepNext w:val="0"/>
              <w:keepLines w:val="0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SECTION 6 – STORAGE</w:t>
            </w:r>
          </w:p>
        </w:tc>
      </w:tr>
      <w:tr w:rsidR="004624FA" w14:paraId="67DB2073" w14:textId="77777777" w:rsidTr="00245FB1">
        <w:trPr>
          <w:trHeight w:val="1079"/>
          <w:jc w:val="center"/>
        </w:trPr>
        <w:tc>
          <w:tcPr>
            <w:tcW w:w="10530" w:type="dxa"/>
            <w:gridSpan w:val="2"/>
            <w:shd w:val="clear" w:color="auto" w:fill="FFFFFF" w:themeFill="background1"/>
            <w:vAlign w:val="center"/>
          </w:tcPr>
          <w:p w14:paraId="6F3F3B84" w14:textId="2C85C582" w:rsidR="004624FA" w:rsidRDefault="00D56F36" w:rsidP="00D56F36">
            <w:pPr>
              <w:widowControl w:val="0"/>
              <w:spacing w:before="80" w:after="80" w:line="240" w:lineRule="auto"/>
              <w:ind w:left="720"/>
              <w:contextualSpacing/>
            </w:pPr>
            <w:r>
              <w:t xml:space="preserve">The HPLC is located on a cart that was designed to be moved between labs. To move apparatus, merely unplug the two power strips from the wall outlets and remove the Ethernet cables from the </w:t>
            </w:r>
            <w:proofErr w:type="spellStart"/>
            <w:r>
              <w:t>Netgear</w:t>
            </w:r>
            <w:proofErr w:type="spellEnd"/>
            <w:r>
              <w:t xml:space="preserve"> Ethernet hub.  Make sure all solvent bottles are well secured before moving.</w:t>
            </w:r>
          </w:p>
        </w:tc>
      </w:tr>
      <w:tr w:rsidR="004624FA" w14:paraId="222C0E69" w14:textId="77777777" w:rsidTr="00245FB1">
        <w:trPr>
          <w:trHeight w:val="420"/>
          <w:jc w:val="center"/>
        </w:trPr>
        <w:tc>
          <w:tcPr>
            <w:tcW w:w="10530" w:type="dxa"/>
            <w:gridSpan w:val="2"/>
            <w:shd w:val="clear" w:color="auto" w:fill="000E2F"/>
            <w:vAlign w:val="center"/>
          </w:tcPr>
          <w:p w14:paraId="5C78D263" w14:textId="77777777" w:rsidR="004624FA" w:rsidRDefault="00262D21" w:rsidP="00037949">
            <w:pPr>
              <w:pStyle w:val="Heading1"/>
              <w:keepNext w:val="0"/>
              <w:keepLines w:val="0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SECTION 7 – SPILL AND ACCIDENT PROCEDURES</w:t>
            </w:r>
          </w:p>
        </w:tc>
      </w:tr>
      <w:tr w:rsidR="004624FA" w14:paraId="29663FEF" w14:textId="77777777" w:rsidTr="00245FB1">
        <w:trPr>
          <w:trHeight w:val="2564"/>
          <w:jc w:val="center"/>
        </w:trPr>
        <w:tc>
          <w:tcPr>
            <w:tcW w:w="10530" w:type="dxa"/>
            <w:gridSpan w:val="2"/>
            <w:shd w:val="clear" w:color="auto" w:fill="FFFFFF" w:themeFill="background1"/>
            <w:vAlign w:val="center"/>
          </w:tcPr>
          <w:p w14:paraId="0F31A1F2" w14:textId="1ACAF329" w:rsidR="004624FA" w:rsidRDefault="00262D21" w:rsidP="000B484B">
            <w:pPr>
              <w:widowControl w:val="0"/>
              <w:numPr>
                <w:ilvl w:val="0"/>
                <w:numId w:val="11"/>
              </w:numPr>
              <w:spacing w:before="80" w:after="80" w:line="240" w:lineRule="auto"/>
              <w:contextualSpacing/>
            </w:pPr>
            <w:r>
              <w:t>Any solvent spill should be handled in the manner outlined in that chemicals safety data sheet or chemical hygiene plan.</w:t>
            </w:r>
          </w:p>
          <w:p w14:paraId="3C72CA62" w14:textId="7A449014" w:rsidR="00621342" w:rsidRDefault="00262D21" w:rsidP="000B484B">
            <w:pPr>
              <w:widowControl w:val="0"/>
              <w:numPr>
                <w:ilvl w:val="0"/>
                <w:numId w:val="11"/>
              </w:numPr>
              <w:spacing w:before="80" w:after="80" w:line="240" w:lineRule="auto"/>
              <w:contextualSpacing/>
            </w:pPr>
            <w:r>
              <w:t>In general, all affected areas should be rinsed under cold wa</w:t>
            </w:r>
            <w:r w:rsidR="00621342">
              <w:t>ter for a minimum of 15 minutes</w:t>
            </w:r>
          </w:p>
          <w:p w14:paraId="73F63462" w14:textId="6654E0D9" w:rsidR="004624FA" w:rsidRDefault="00262D21" w:rsidP="000B484B">
            <w:pPr>
              <w:widowControl w:val="0"/>
              <w:numPr>
                <w:ilvl w:val="0"/>
                <w:numId w:val="11"/>
              </w:numPr>
              <w:spacing w:before="80" w:after="80" w:line="240" w:lineRule="auto"/>
              <w:contextualSpacing/>
            </w:pPr>
            <w:r>
              <w:t xml:space="preserve">Contaminated clothing should be </w:t>
            </w:r>
            <w:r w:rsidR="00D56F36">
              <w:t xml:space="preserve">immediately </w:t>
            </w:r>
            <w:r>
              <w:t>removed to prevent prolonged exposure to irritant.</w:t>
            </w:r>
          </w:p>
          <w:p w14:paraId="33583FF5" w14:textId="22585249" w:rsidR="00621342" w:rsidRDefault="00621342" w:rsidP="000B484B">
            <w:pPr>
              <w:widowControl w:val="0"/>
              <w:numPr>
                <w:ilvl w:val="0"/>
                <w:numId w:val="11"/>
              </w:numPr>
              <w:spacing w:before="80" w:after="80" w:line="240" w:lineRule="auto"/>
              <w:contextualSpacing/>
            </w:pPr>
            <w:r>
              <w:t xml:space="preserve">In case of spills of large quantities of solvent (&gt;500 mL), evacuate the lab and consider your next move (911 or waiting until the solvent has evaporated, or a clean-up procedure, depending on the hazards the solvent poses </w:t>
            </w:r>
          </w:p>
          <w:p w14:paraId="070C1367" w14:textId="26DDF57B" w:rsidR="000B484B" w:rsidRDefault="000B484B" w:rsidP="000B484B">
            <w:pPr>
              <w:widowControl w:val="0"/>
              <w:numPr>
                <w:ilvl w:val="0"/>
                <w:numId w:val="11"/>
              </w:numPr>
              <w:spacing w:before="80" w:after="80" w:line="240" w:lineRule="auto"/>
              <w:contextualSpacing/>
            </w:pPr>
            <w:r>
              <w:t>Turn off all sources of ignition – push the red emergency shut-off button near the exit.</w:t>
            </w:r>
          </w:p>
          <w:p w14:paraId="47447C6D" w14:textId="2A464F17" w:rsidR="004624FA" w:rsidRDefault="00D56F36" w:rsidP="00D56F36">
            <w:pPr>
              <w:widowControl w:val="0"/>
              <w:spacing w:before="80" w:after="80" w:line="240" w:lineRule="auto"/>
              <w:ind w:left="360"/>
              <w:contextualSpacing/>
            </w:pPr>
            <w:r w:rsidRPr="005D1245">
              <w:rPr>
                <w:rFonts w:eastAsia="Times New Roman" w:cs="Aparajita"/>
                <w:b/>
                <w:snapToGrid w:val="0"/>
              </w:rPr>
              <w:t xml:space="preserve">Report any incident to the PI </w:t>
            </w:r>
            <w:r w:rsidRPr="005D1245">
              <w:rPr>
                <w:rFonts w:eastAsia="Times New Roman" w:cs="Aparajita"/>
                <w:b/>
                <w:snapToGrid w:val="0"/>
                <w:u w:val="single"/>
              </w:rPr>
              <w:t>and</w:t>
            </w:r>
            <w:r w:rsidRPr="005D1245">
              <w:rPr>
                <w:rFonts w:eastAsia="Times New Roman" w:cs="Aparajita"/>
                <w:b/>
                <w:snapToGrid w:val="0"/>
              </w:rPr>
              <w:t xml:space="preserve"> fill out the </w:t>
            </w:r>
            <w:hyperlink r:id="rId9" w:history="1">
              <w:r w:rsidRPr="005D1245">
                <w:rPr>
                  <w:rStyle w:val="Hyperlink"/>
                  <w:rFonts w:eastAsia="Times New Roman" w:cs="Aparajita"/>
                  <w:b/>
                  <w:snapToGrid w:val="0"/>
                </w:rPr>
                <w:t>accident form</w:t>
              </w:r>
            </w:hyperlink>
          </w:p>
        </w:tc>
      </w:tr>
      <w:tr w:rsidR="004624FA" w:rsidRPr="0090037A" w14:paraId="320BB941" w14:textId="77777777" w:rsidTr="00245FB1">
        <w:trPr>
          <w:trHeight w:val="522"/>
          <w:jc w:val="center"/>
        </w:trPr>
        <w:tc>
          <w:tcPr>
            <w:tcW w:w="10530" w:type="dxa"/>
            <w:gridSpan w:val="2"/>
            <w:shd w:val="clear" w:color="auto" w:fill="000E2F"/>
            <w:vAlign w:val="center"/>
          </w:tcPr>
          <w:p w14:paraId="52AF8199" w14:textId="77777777" w:rsidR="004624FA" w:rsidRPr="0090037A" w:rsidRDefault="00262D21" w:rsidP="00037949">
            <w:pPr>
              <w:pStyle w:val="Heading1"/>
              <w:keepNext w:val="0"/>
              <w:keepLines w:val="0"/>
              <w:spacing w:before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SECTION 8 – FIRST AID PROCEDURES</w:t>
            </w:r>
          </w:p>
        </w:tc>
      </w:tr>
      <w:tr w:rsidR="004624FA" w14:paraId="4126DF73" w14:textId="77777777" w:rsidTr="00245FB1">
        <w:trPr>
          <w:trHeight w:val="1008"/>
          <w:jc w:val="center"/>
        </w:trPr>
        <w:tc>
          <w:tcPr>
            <w:tcW w:w="10530" w:type="dxa"/>
            <w:gridSpan w:val="2"/>
            <w:shd w:val="clear" w:color="auto" w:fill="FFFFFF" w:themeFill="background1"/>
            <w:vAlign w:val="center"/>
          </w:tcPr>
          <w:p w14:paraId="06CEB0F5" w14:textId="77777777" w:rsidR="004624FA" w:rsidRDefault="00262D21" w:rsidP="00D56F36">
            <w:pPr>
              <w:widowControl w:val="0"/>
              <w:numPr>
                <w:ilvl w:val="0"/>
                <w:numId w:val="11"/>
              </w:numPr>
              <w:spacing w:before="80" w:after="80" w:line="240" w:lineRule="auto"/>
              <w:contextualSpacing/>
            </w:pPr>
            <w:r>
              <w:t>First Aid should be administered in a manner consistent with the spilled chem</w:t>
            </w:r>
            <w:r w:rsidR="006244EC">
              <w:t xml:space="preserve">ical’s </w:t>
            </w:r>
            <w:r>
              <w:t>safety data sheet.</w:t>
            </w:r>
          </w:p>
          <w:p w14:paraId="42675F46" w14:textId="77777777" w:rsidR="004624FA" w:rsidRDefault="00262D21" w:rsidP="00D56F36">
            <w:pPr>
              <w:widowControl w:val="0"/>
              <w:numPr>
                <w:ilvl w:val="0"/>
                <w:numId w:val="11"/>
              </w:numPr>
              <w:spacing w:before="80" w:after="80" w:line="240" w:lineRule="auto"/>
              <w:contextualSpacing/>
            </w:pPr>
            <w:r>
              <w:t>In general, all affected areas should be rinsed under cold water for a minimum of 15 minutes.</w:t>
            </w:r>
          </w:p>
          <w:p w14:paraId="12BEEA15" w14:textId="722D5A87" w:rsidR="004624FA" w:rsidRDefault="00D56F36" w:rsidP="00D56F36">
            <w:pPr>
              <w:widowControl w:val="0"/>
              <w:spacing w:before="80" w:after="80" w:line="240" w:lineRule="auto"/>
              <w:ind w:left="360"/>
              <w:contextualSpacing/>
            </w:pPr>
            <w:r w:rsidRPr="005D1245">
              <w:rPr>
                <w:rFonts w:eastAsia="Times New Roman" w:cs="Aparajita"/>
                <w:b/>
                <w:snapToGrid w:val="0"/>
              </w:rPr>
              <w:t xml:space="preserve">Report any incident to the PI </w:t>
            </w:r>
            <w:r w:rsidRPr="005D1245">
              <w:rPr>
                <w:rFonts w:eastAsia="Times New Roman" w:cs="Aparajita"/>
                <w:b/>
                <w:snapToGrid w:val="0"/>
                <w:u w:val="single"/>
              </w:rPr>
              <w:t>and</w:t>
            </w:r>
            <w:r w:rsidRPr="005D1245">
              <w:rPr>
                <w:rFonts w:eastAsia="Times New Roman" w:cs="Aparajita"/>
                <w:b/>
                <w:snapToGrid w:val="0"/>
              </w:rPr>
              <w:t xml:space="preserve"> fill out the </w:t>
            </w:r>
            <w:hyperlink r:id="rId10" w:history="1">
              <w:r w:rsidRPr="005D1245">
                <w:rPr>
                  <w:rStyle w:val="Hyperlink"/>
                  <w:rFonts w:eastAsia="Times New Roman" w:cs="Aparajita"/>
                  <w:b/>
                  <w:snapToGrid w:val="0"/>
                </w:rPr>
                <w:t>accident form</w:t>
              </w:r>
            </w:hyperlink>
          </w:p>
        </w:tc>
      </w:tr>
    </w:tbl>
    <w:p w14:paraId="7A7F07A9" w14:textId="77777777" w:rsidR="00530586" w:rsidRDefault="00530586" w:rsidP="00037949">
      <w:pPr>
        <w:pStyle w:val="Heading1"/>
        <w:keepNext w:val="0"/>
        <w:keepLines w:val="0"/>
        <w:spacing w:before="0"/>
        <w:rPr>
          <w:b/>
          <w:color w:val="FFFFFF"/>
          <w:sz w:val="24"/>
          <w:szCs w:val="24"/>
        </w:rPr>
        <w:sectPr w:rsidR="00530586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071" w:right="1440" w:bottom="1035" w:left="1440" w:header="288" w:footer="495" w:gutter="0"/>
          <w:pgNumType w:start="1"/>
          <w:cols w:space="720"/>
          <w:titlePg/>
        </w:sectPr>
      </w:pPr>
    </w:p>
    <w:tbl>
      <w:tblPr>
        <w:tblStyle w:val="a"/>
        <w:tblW w:w="10530" w:type="dxa"/>
        <w:jc w:val="center"/>
        <w:tblLayout w:type="fixed"/>
        <w:tblLook w:val="0000" w:firstRow="0" w:lastRow="0" w:firstColumn="0" w:lastColumn="0" w:noHBand="0" w:noVBand="0"/>
      </w:tblPr>
      <w:tblGrid>
        <w:gridCol w:w="10440"/>
        <w:gridCol w:w="90"/>
      </w:tblGrid>
      <w:tr w:rsidR="004624FA" w14:paraId="293281BC" w14:textId="77777777" w:rsidTr="00037949">
        <w:trPr>
          <w:trHeight w:val="420"/>
          <w:jc w:val="center"/>
        </w:trPr>
        <w:tc>
          <w:tcPr>
            <w:tcW w:w="10530" w:type="dxa"/>
            <w:gridSpan w:val="2"/>
            <w:shd w:val="clear" w:color="auto" w:fill="000E2F"/>
            <w:vAlign w:val="center"/>
          </w:tcPr>
          <w:p w14:paraId="0B5724FC" w14:textId="49025B8D" w:rsidR="004624FA" w:rsidRDefault="00262D21" w:rsidP="00037949">
            <w:pPr>
              <w:pStyle w:val="Heading1"/>
              <w:keepNext w:val="0"/>
              <w:keepLines w:val="0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SECTION 9 – WASTE MANAGEMENT</w:t>
            </w:r>
          </w:p>
        </w:tc>
      </w:tr>
      <w:tr w:rsidR="004624FA" w14:paraId="565EE6D7" w14:textId="77777777" w:rsidTr="00037949">
        <w:trPr>
          <w:gridAfter w:val="1"/>
          <w:wAfter w:w="90" w:type="dxa"/>
          <w:trHeight w:val="2312"/>
          <w:jc w:val="center"/>
        </w:trPr>
        <w:tc>
          <w:tcPr>
            <w:tcW w:w="10440" w:type="dxa"/>
            <w:shd w:val="clear" w:color="auto" w:fill="FFFFFF" w:themeFill="background1"/>
            <w:vAlign w:val="center"/>
          </w:tcPr>
          <w:p w14:paraId="11A7C6E4" w14:textId="77777777" w:rsidR="006244EC" w:rsidRDefault="00262D21" w:rsidP="00037949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</w:pPr>
            <w:r>
              <w:t>A waste container should be situated beneath the HPLC, inside of a secondary waste container.</w:t>
            </w:r>
          </w:p>
          <w:p w14:paraId="4E372205" w14:textId="77777777" w:rsidR="00D56F36" w:rsidRPr="003A595D" w:rsidRDefault="00D56F36" w:rsidP="00037949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Aparajita"/>
                <w:snapToGrid w:val="0"/>
              </w:rPr>
            </w:pPr>
            <w:r w:rsidRPr="003A595D">
              <w:rPr>
                <w:rFonts w:eastAsia="Times New Roman" w:cs="Aparajita"/>
                <w:snapToGrid w:val="0"/>
              </w:rPr>
              <w:t>All waste must be labeled with “Hazardous Waste” stickers or tags, use full chemical names to describe the waste (i.e., no chemical abbreviations or symbols), be stored in sturdy</w:t>
            </w:r>
            <w:r>
              <w:rPr>
                <w:rFonts w:eastAsia="Times New Roman" w:cs="Aparajita"/>
                <w:snapToGrid w:val="0"/>
              </w:rPr>
              <w:t xml:space="preserve"> </w:t>
            </w:r>
            <w:r w:rsidRPr="003A595D">
              <w:rPr>
                <w:rFonts w:eastAsia="Times New Roman" w:cs="Aparajita"/>
                <w:snapToGrid w:val="0"/>
              </w:rPr>
              <w:t>containers with tight-fitting caps or lids, and be stored alone or with</w:t>
            </w:r>
            <w:r>
              <w:rPr>
                <w:rFonts w:eastAsia="Times New Roman" w:cs="Aparajita"/>
                <w:snapToGrid w:val="0"/>
              </w:rPr>
              <w:t xml:space="preserve"> other compatible chemicals</w:t>
            </w:r>
            <w:bookmarkStart w:id="0" w:name="_GoBack"/>
            <w:bookmarkEnd w:id="0"/>
          </w:p>
          <w:p w14:paraId="342109E9" w14:textId="77777777" w:rsidR="00D56F36" w:rsidRPr="00FB4B6D" w:rsidRDefault="00D56F36" w:rsidP="00037949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Aparajita"/>
                <w:snapToGrid w:val="0"/>
              </w:rPr>
            </w:pPr>
            <w:r w:rsidRPr="007A3C8E">
              <w:rPr>
                <w:rFonts w:eastAsia="Times New Roman" w:cs="Aparajita"/>
                <w:snapToGrid w:val="0"/>
              </w:rPr>
              <w:t xml:space="preserve">Hazardous wastes must be stored at or near a green “Satellite Accumulation Area” sign prior to disposal by EHS. Once the containers are 80% filled, fill our EH&amp;S chemical </w:t>
            </w:r>
            <w:hyperlink r:id="rId15" w:history="1">
              <w:r w:rsidRPr="00FB4B6D">
                <w:rPr>
                  <w:rStyle w:val="Hyperlink"/>
                  <w:rFonts w:eastAsia="Times New Roman" w:cs="Aparajita"/>
                  <w:snapToGrid w:val="0"/>
                </w:rPr>
                <w:t>waste pickup form</w:t>
              </w:r>
            </w:hyperlink>
          </w:p>
          <w:p w14:paraId="65C1C993" w14:textId="7285FF4A" w:rsidR="004624FA" w:rsidRDefault="00D56F36" w:rsidP="00037949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</w:pPr>
            <w:r w:rsidRPr="00E51A8A">
              <w:rPr>
                <w:rFonts w:eastAsia="Times New Roman" w:cs="Aparajita"/>
                <w:snapToGrid w:val="0"/>
              </w:rPr>
              <w:t xml:space="preserve">The </w:t>
            </w:r>
            <w:hyperlink r:id="rId16" w:history="1">
              <w:r w:rsidRPr="00E51A8A">
                <w:rPr>
                  <w:rStyle w:val="Hyperlink"/>
                  <w:rFonts w:eastAsia="Times New Roman" w:cs="Aparajita"/>
                  <w:snapToGrid w:val="0"/>
                </w:rPr>
                <w:t>Chemical Waste Disposal Manual</w:t>
              </w:r>
            </w:hyperlink>
            <w:r w:rsidRPr="00E51A8A">
              <w:rPr>
                <w:rFonts w:eastAsia="Times New Roman" w:cs="Aparajita"/>
                <w:snapToGrid w:val="0"/>
              </w:rPr>
              <w:t xml:space="preserve"> must be used as a reference</w:t>
            </w:r>
          </w:p>
        </w:tc>
      </w:tr>
    </w:tbl>
    <w:tbl>
      <w:tblPr>
        <w:tblW w:w="1049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90"/>
      </w:tblGrid>
      <w:tr w:rsidR="006244EC" w:rsidRPr="006244EC" w14:paraId="26C868AE" w14:textId="77777777" w:rsidTr="006244EC">
        <w:trPr>
          <w:trHeight w:val="432"/>
        </w:trPr>
        <w:tc>
          <w:tcPr>
            <w:tcW w:w="10490" w:type="dxa"/>
            <w:shd w:val="clear" w:color="auto" w:fill="000E2F"/>
            <w:vAlign w:val="center"/>
          </w:tcPr>
          <w:p w14:paraId="11CAA92A" w14:textId="77777777" w:rsidR="006244EC" w:rsidRPr="006244EC" w:rsidRDefault="006244EC" w:rsidP="00037949">
            <w:pPr>
              <w:spacing w:after="0"/>
              <w:outlineLvl w:val="0"/>
              <w:rPr>
                <w:rFonts w:eastAsia="Times New Roman" w:cs="Aparajita"/>
                <w:b/>
                <w:snapToGrid w:val="0"/>
                <w:color w:val="FFFFFF" w:themeColor="background1"/>
                <w:sz w:val="24"/>
                <w:szCs w:val="24"/>
              </w:rPr>
            </w:pPr>
            <w:r w:rsidRPr="006244EC">
              <w:rPr>
                <w:rFonts w:eastAsia="Times New Roman" w:cs="Aparajita"/>
                <w:b/>
                <w:snapToGrid w:val="0"/>
                <w:color w:val="FFFFFF" w:themeColor="background1"/>
                <w:sz w:val="24"/>
                <w:szCs w:val="24"/>
              </w:rPr>
              <w:t>SECTION 10 – DECONTAMINATION PROCEDURES</w:t>
            </w:r>
          </w:p>
        </w:tc>
      </w:tr>
    </w:tbl>
    <w:tbl>
      <w:tblPr>
        <w:tblStyle w:val="a"/>
        <w:tblW w:w="10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4624FA" w14:paraId="03A2BBBC" w14:textId="77777777" w:rsidTr="006244EC">
        <w:trPr>
          <w:trHeight w:val="666"/>
          <w:jc w:val="center"/>
        </w:trPr>
        <w:tc>
          <w:tcPr>
            <w:tcW w:w="1045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164AC6E" w14:textId="77777777" w:rsidR="004624FA" w:rsidRDefault="00262D21" w:rsidP="00D56F36">
            <w:pPr>
              <w:widowControl w:val="0"/>
              <w:numPr>
                <w:ilvl w:val="0"/>
                <w:numId w:val="9"/>
              </w:numPr>
              <w:spacing w:before="80" w:after="80" w:line="240" w:lineRule="auto"/>
              <w:contextualSpacing/>
            </w:pPr>
            <w:r>
              <w:t xml:space="preserve">Following use, the HPLC should be </w:t>
            </w:r>
            <w:r w:rsidR="007524A1">
              <w:t>rinsed</w:t>
            </w:r>
            <w:r>
              <w:t xml:space="preserve"> with several column volumes of hexane. </w:t>
            </w:r>
          </w:p>
          <w:p w14:paraId="3E37F444" w14:textId="77777777" w:rsidR="004624FA" w:rsidRDefault="00262D21" w:rsidP="00D56F36">
            <w:pPr>
              <w:widowControl w:val="0"/>
              <w:numPr>
                <w:ilvl w:val="0"/>
                <w:numId w:val="9"/>
              </w:numPr>
              <w:spacing w:before="80" w:after="80" w:line="240" w:lineRule="auto"/>
              <w:contextualSpacing/>
            </w:pPr>
            <w:r>
              <w:t>Hands should be thoroughly washed following HPLC use.</w:t>
            </w:r>
          </w:p>
        </w:tc>
      </w:tr>
    </w:tbl>
    <w:tbl>
      <w:tblPr>
        <w:tblW w:w="1049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90"/>
      </w:tblGrid>
      <w:tr w:rsidR="006244EC" w:rsidRPr="006244EC" w14:paraId="0C8A03C5" w14:textId="77777777" w:rsidTr="006244EC">
        <w:trPr>
          <w:trHeight w:val="432"/>
        </w:trPr>
        <w:tc>
          <w:tcPr>
            <w:tcW w:w="10490" w:type="dxa"/>
            <w:shd w:val="clear" w:color="auto" w:fill="000E2F"/>
            <w:vAlign w:val="center"/>
          </w:tcPr>
          <w:p w14:paraId="1508C569" w14:textId="77777777" w:rsidR="006244EC" w:rsidRPr="006244EC" w:rsidRDefault="006244EC" w:rsidP="00037949">
            <w:pPr>
              <w:spacing w:after="0"/>
              <w:outlineLvl w:val="0"/>
              <w:rPr>
                <w:rFonts w:eastAsia="Times New Roman" w:cs="Aparajita"/>
                <w:b/>
                <w:snapToGrid w:val="0"/>
                <w:color w:val="FFFFFF" w:themeColor="background1"/>
                <w:sz w:val="24"/>
                <w:szCs w:val="24"/>
              </w:rPr>
            </w:pPr>
            <w:r w:rsidRPr="006244EC">
              <w:rPr>
                <w:rFonts w:eastAsia="Times New Roman" w:cs="Aparajita"/>
                <w:b/>
                <w:snapToGrid w:val="0"/>
                <w:color w:val="FFFFFF" w:themeColor="background1"/>
                <w:sz w:val="24"/>
                <w:szCs w:val="24"/>
              </w:rPr>
              <w:t xml:space="preserve">SECTION 11 – SPECIFIC PROCEDURE </w:t>
            </w:r>
          </w:p>
        </w:tc>
      </w:tr>
    </w:tbl>
    <w:tbl>
      <w:tblPr>
        <w:tblStyle w:val="a"/>
        <w:tblW w:w="10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4624FA" w14:paraId="45021F01" w14:textId="77777777" w:rsidTr="0090037A">
        <w:trPr>
          <w:trHeight w:val="420"/>
          <w:jc w:val="center"/>
        </w:trPr>
        <w:tc>
          <w:tcPr>
            <w:tcW w:w="10459" w:type="dxa"/>
            <w:shd w:val="clear" w:color="auto" w:fill="FFFFFF"/>
            <w:vAlign w:val="center"/>
          </w:tcPr>
          <w:p w14:paraId="25BF6001" w14:textId="77777777" w:rsidR="004624FA" w:rsidRDefault="00262D21" w:rsidP="00D56F36">
            <w:pPr>
              <w:widowControl w:val="0"/>
              <w:spacing w:before="80" w:after="80" w:line="240" w:lineRule="auto"/>
            </w:pPr>
            <w:r>
              <w:t xml:space="preserve">The following link included details instructions on how to operate Agilent 1100/1200 Series HPLCs and work with the </w:t>
            </w:r>
            <w:proofErr w:type="spellStart"/>
            <w:r>
              <w:t>Chemstation</w:t>
            </w:r>
            <w:proofErr w:type="spellEnd"/>
            <w:r>
              <w:t xml:space="preserve"> program:</w:t>
            </w:r>
          </w:p>
          <w:p w14:paraId="39D2CC1F" w14:textId="77777777" w:rsidR="004624FA" w:rsidRDefault="00901F8E" w:rsidP="00D56F36">
            <w:pPr>
              <w:widowControl w:val="0"/>
              <w:spacing w:before="80" w:after="80" w:line="240" w:lineRule="auto"/>
            </w:pPr>
            <w:hyperlink r:id="rId17">
              <w:r w:rsidR="00262D21">
                <w:rPr>
                  <w:color w:val="1155CC"/>
                  <w:u w:val="single"/>
                </w:rPr>
                <w:t>https://borch.agsci.colostate.edu/files/2016/02/HPLC-SOP-2.pdf</w:t>
              </w:r>
            </w:hyperlink>
          </w:p>
          <w:p w14:paraId="66ED9F38" w14:textId="54DCF8A6" w:rsidR="004624FA" w:rsidRDefault="004624FA" w:rsidP="00D56F36">
            <w:pPr>
              <w:widowControl w:val="0"/>
              <w:spacing w:before="80" w:after="80" w:line="240" w:lineRule="auto"/>
            </w:pPr>
          </w:p>
        </w:tc>
      </w:tr>
    </w:tbl>
    <w:p w14:paraId="7D6C4645" w14:textId="77777777" w:rsidR="007524A1" w:rsidRDefault="00262D21">
      <w:r>
        <w:br w:type="page"/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"/>
        <w:gridCol w:w="6403"/>
        <w:gridCol w:w="2884"/>
        <w:gridCol w:w="1481"/>
        <w:gridCol w:w="16"/>
      </w:tblGrid>
      <w:tr w:rsidR="007524A1" w:rsidRPr="00C85102" w14:paraId="0E85AA4C" w14:textId="77777777" w:rsidTr="00D56F36">
        <w:trPr>
          <w:gridBefore w:val="1"/>
          <w:wBefore w:w="15" w:type="dxa"/>
          <w:trHeight w:val="432"/>
          <w:jc w:val="center"/>
        </w:trPr>
        <w:tc>
          <w:tcPr>
            <w:tcW w:w="10425" w:type="dxa"/>
            <w:gridSpan w:val="4"/>
            <w:shd w:val="clear" w:color="auto" w:fill="000E2F"/>
            <w:vAlign w:val="center"/>
          </w:tcPr>
          <w:p w14:paraId="3DD0CE43" w14:textId="77777777" w:rsidR="007524A1" w:rsidRPr="00174A02" w:rsidRDefault="007524A1" w:rsidP="00D56F36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  <w:sz w:val="24"/>
                <w:szCs w:val="24"/>
              </w:rPr>
            </w:pPr>
            <w:r w:rsidRPr="00174A02">
              <w:rPr>
                <w:rFonts w:eastAsia="Times New Roman" w:cs="Aparajita"/>
                <w:b/>
                <w:snapToGrid w:val="0"/>
                <w:color w:val="FFFFFF" w:themeColor="background1"/>
                <w:sz w:val="24"/>
                <w:szCs w:val="24"/>
              </w:rPr>
              <w:lastRenderedPageBreak/>
              <w:t>SECTION 12A.     APPROVAL</w:t>
            </w:r>
          </w:p>
        </w:tc>
      </w:tr>
      <w:tr w:rsidR="007524A1" w:rsidRPr="00362737" w14:paraId="75DE184E" w14:textId="77777777" w:rsidTr="00D56F36">
        <w:trPr>
          <w:gridBefore w:val="1"/>
          <w:wBefore w:w="15" w:type="dxa"/>
          <w:trHeight w:val="432"/>
          <w:jc w:val="center"/>
        </w:trPr>
        <w:tc>
          <w:tcPr>
            <w:tcW w:w="10425" w:type="dxa"/>
            <w:gridSpan w:val="4"/>
            <w:shd w:val="clear" w:color="auto" w:fill="FFFFFF" w:themeFill="background1"/>
            <w:vAlign w:val="center"/>
          </w:tcPr>
          <w:p w14:paraId="38E2E3CD" w14:textId="70DEBC84" w:rsidR="007524A1" w:rsidRPr="00362737" w:rsidRDefault="007524A1" w:rsidP="00D56F36">
            <w:pPr>
              <w:widowControl w:val="0"/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362737">
              <w:rPr>
                <w:rFonts w:eastAsia="Times New Roman" w:cs="Aparajita"/>
                <w:snapToGrid w:val="0"/>
              </w:rPr>
              <w:t>I have reviewed, understand and agree to follow this lab-specific standard operating procedure (LSOP)</w:t>
            </w:r>
            <w:r w:rsidR="00D56F36">
              <w:rPr>
                <w:rFonts w:eastAsia="Times New Roman" w:cs="Aparajita"/>
                <w:snapToGrid w:val="0"/>
              </w:rPr>
              <w:t xml:space="preserve"> for the use of the HPLC</w:t>
            </w:r>
            <w:r w:rsidRPr="00362737">
              <w:rPr>
                <w:rFonts w:eastAsia="Times New Roman" w:cs="Aparajita"/>
                <w:i/>
                <w:snapToGrid w:val="0"/>
              </w:rPr>
              <w:t xml:space="preserve">. </w:t>
            </w:r>
            <w:r w:rsidRPr="00362737">
              <w:rPr>
                <w:rFonts w:eastAsia="Times New Roman" w:cs="Aparajita"/>
                <w:snapToGrid w:val="0"/>
              </w:rPr>
              <w:t xml:space="preserve">Failure to follow this LSOP or lab-specific training guidelines is a violation of the </w:t>
            </w:r>
            <w:hyperlink r:id="rId18" w:history="1">
              <w:r w:rsidRPr="00362737">
                <w:rPr>
                  <w:rFonts w:eastAsia="Times New Roman" w:cs="Aparajita"/>
                  <w:i/>
                  <w:snapToGrid w:val="0"/>
                  <w:color w:val="0563C1" w:themeColor="hyperlink"/>
                  <w:u w:val="single"/>
                </w:rPr>
                <w:t>University Health &amp; Safety Policy</w:t>
              </w:r>
            </w:hyperlink>
            <w:r w:rsidRPr="00362737">
              <w:rPr>
                <w:rFonts w:eastAsia="Times New Roman" w:cs="Aparajita"/>
                <w:snapToGrid w:val="0"/>
              </w:rPr>
              <w:t xml:space="preserve"> and </w:t>
            </w:r>
            <w:hyperlink r:id="rId19" w:history="1">
              <w:r w:rsidRPr="00362737">
                <w:rPr>
                  <w:rFonts w:eastAsia="Times New Roman" w:cs="Aparajita"/>
                  <w:i/>
                  <w:snapToGrid w:val="0"/>
                  <w:color w:val="0563C1" w:themeColor="hyperlink"/>
                  <w:u w:val="single"/>
                </w:rPr>
                <w:t>University Code of Conduct</w:t>
              </w:r>
            </w:hyperlink>
            <w:r w:rsidRPr="00362737">
              <w:rPr>
                <w:rFonts w:eastAsia="Times New Roman" w:cs="Aparajita"/>
                <w:snapToGrid w:val="0"/>
              </w:rPr>
              <w:t>.</w:t>
            </w:r>
          </w:p>
          <w:p w14:paraId="734A002B" w14:textId="77777777" w:rsidR="007524A1" w:rsidRPr="00362737" w:rsidRDefault="007524A1" w:rsidP="00D56F36">
            <w:pPr>
              <w:widowControl w:val="0"/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362737">
              <w:rPr>
                <w:rFonts w:eastAsia="Times New Roman" w:cs="Aparajita"/>
                <w:snapToGrid w:val="0"/>
              </w:rPr>
              <w:t>Further approval and/or review of this LSOP by the PI/Supervisor is required if any of the following events occur:</w:t>
            </w:r>
          </w:p>
          <w:p w14:paraId="78F56382" w14:textId="77777777" w:rsidR="007524A1" w:rsidRPr="00362737" w:rsidRDefault="007524A1" w:rsidP="007524A1">
            <w:pPr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contextualSpacing/>
              <w:rPr>
                <w:rFonts w:eastAsia="Times New Roman" w:cs="Aparajita"/>
              </w:rPr>
            </w:pPr>
            <w:r w:rsidRPr="00362737">
              <w:rPr>
                <w:rFonts w:eastAsia="Times New Roman" w:cs="Aparajita"/>
              </w:rPr>
              <w:t xml:space="preserve">A </w:t>
            </w:r>
            <w:r>
              <w:rPr>
                <w:rFonts w:eastAsia="Times New Roman" w:cs="Aparajita"/>
              </w:rPr>
              <w:t xml:space="preserve">significant </w:t>
            </w:r>
            <w:r w:rsidRPr="00362737">
              <w:rPr>
                <w:rFonts w:eastAsia="Times New Roman" w:cs="Aparajita"/>
              </w:rPr>
              <w:t>change in amount (</w:t>
            </w:r>
            <w:r>
              <w:rPr>
                <w:rFonts w:eastAsia="Times New Roman" w:cs="Aparajita"/>
              </w:rPr>
              <w:t>i.e., doubling of the scale of reaction</w:t>
            </w:r>
            <w:r w:rsidRPr="00362737">
              <w:rPr>
                <w:rFonts w:eastAsia="Times New Roman" w:cs="Aparajita"/>
              </w:rPr>
              <w:t>) or substitution of the chemicals in the procedure is planned</w:t>
            </w:r>
          </w:p>
          <w:p w14:paraId="78F77606" w14:textId="77777777" w:rsidR="007524A1" w:rsidRPr="00362737" w:rsidRDefault="007524A1" w:rsidP="007524A1">
            <w:pPr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rFonts w:eastAsia="Times New Roman" w:cs="Aparajita"/>
              </w:rPr>
            </w:pPr>
            <w:r w:rsidRPr="00362737">
              <w:rPr>
                <w:rFonts w:eastAsia="Times New Roman" w:cs="Aparajita"/>
              </w:rPr>
              <w:t>A major change in the agreed-upon experimental set-up is planned (heating instead of room temp, etc.)</w:t>
            </w:r>
          </w:p>
          <w:p w14:paraId="4877B180" w14:textId="77777777" w:rsidR="007524A1" w:rsidRPr="00362737" w:rsidRDefault="007524A1" w:rsidP="007524A1">
            <w:pPr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rFonts w:eastAsia="Times New Roman" w:cs="Aparajita"/>
              </w:rPr>
            </w:pPr>
            <w:r w:rsidRPr="00362737">
              <w:rPr>
                <w:rFonts w:eastAsia="Times New Roman" w:cs="Aparajita"/>
              </w:rPr>
              <w:t>Any signs of a failure in safety design or equipment are observed</w:t>
            </w:r>
          </w:p>
          <w:p w14:paraId="32E155F1" w14:textId="77777777" w:rsidR="007524A1" w:rsidRPr="00362737" w:rsidRDefault="007524A1" w:rsidP="007524A1">
            <w:pPr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contextualSpacing/>
              <w:rPr>
                <w:rFonts w:eastAsia="Times New Roman" w:cs="Aparajita"/>
              </w:rPr>
            </w:pPr>
            <w:r w:rsidRPr="00362737">
              <w:rPr>
                <w:rFonts w:eastAsia="Times New Roman" w:cs="Aparajita"/>
              </w:rPr>
              <w:t>Any signs or symptoms of a chemical exposure to any personnel are observed</w:t>
            </w:r>
          </w:p>
          <w:p w14:paraId="09AABB3F" w14:textId="77777777" w:rsidR="007524A1" w:rsidRPr="000570F1" w:rsidRDefault="007524A1" w:rsidP="007524A1">
            <w:pPr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contextualSpacing/>
              <w:rPr>
                <w:rFonts w:eastAsia="Times New Roman" w:cs="Aparajita"/>
              </w:rPr>
            </w:pPr>
            <w:r w:rsidRPr="00362737">
              <w:rPr>
                <w:rFonts w:eastAsia="Times New Roman" w:cs="Aparajita"/>
              </w:rPr>
              <w:t xml:space="preserve">Unexpected and/or potentially dangerous experimental results occur (e.g., fire, </w:t>
            </w:r>
            <w:r w:rsidRPr="00362737">
              <w:rPr>
                <w:rFonts w:eastAsia="Times New Roman" w:cs="Helvetica"/>
                <w:snapToGrid w:val="0"/>
                <w:shd w:val="clear" w:color="auto" w:fill="FFFFFF"/>
              </w:rPr>
              <w:t>uncontrolled buildup of heat and/or pressure,</w:t>
            </w:r>
            <w:r w:rsidRPr="00362737">
              <w:rPr>
                <w:rFonts w:eastAsia="Times New Roman" w:cs="Aparajita"/>
              </w:rPr>
              <w:t xml:space="preserve"> etc.)</w:t>
            </w:r>
            <w:r>
              <w:rPr>
                <w:rFonts w:eastAsia="Times New Roman" w:cs="Aparajita"/>
              </w:rPr>
              <w:br/>
            </w:r>
          </w:p>
        </w:tc>
      </w:tr>
      <w:tr w:rsidR="007524A1" w:rsidRPr="00C85102" w14:paraId="3C040EFA" w14:textId="77777777" w:rsidTr="00D56F36">
        <w:trPr>
          <w:gridBefore w:val="1"/>
          <w:wBefore w:w="15" w:type="dxa"/>
          <w:trHeight w:val="638"/>
          <w:jc w:val="center"/>
        </w:trPr>
        <w:tc>
          <w:tcPr>
            <w:tcW w:w="6190" w:type="dxa"/>
            <w:shd w:val="clear" w:color="auto" w:fill="D9D9D9" w:themeFill="background1" w:themeFillShade="D9"/>
            <w:vAlign w:val="center"/>
          </w:tcPr>
          <w:p w14:paraId="64575FEB" w14:textId="77777777" w:rsidR="007524A1" w:rsidRPr="00113202" w:rsidRDefault="007524A1" w:rsidP="00D56F36">
            <w:pPr>
              <w:widowControl w:val="0"/>
              <w:spacing w:after="0" w:line="240" w:lineRule="auto"/>
              <w:jc w:val="center"/>
              <w:rPr>
                <w:rFonts w:eastAsia="Times New Roman" w:cs="Aparajita"/>
                <w:b/>
                <w:snapToGrid w:val="0"/>
                <w:sz w:val="24"/>
                <w:szCs w:val="24"/>
              </w:rPr>
            </w:pPr>
            <w:r w:rsidRPr="00113202">
              <w:rPr>
                <w:rFonts w:eastAsia="Times New Roman" w:cs="Aparajita"/>
                <w:b/>
                <w:snapToGrid w:val="0"/>
                <w:sz w:val="24"/>
                <w:szCs w:val="24"/>
              </w:rPr>
              <w:t xml:space="preserve">Researcher </w:t>
            </w:r>
            <w:r>
              <w:rPr>
                <w:rFonts w:eastAsia="Times New Roman" w:cs="Aparajita"/>
                <w:b/>
                <w:snapToGrid w:val="0"/>
                <w:sz w:val="24"/>
                <w:szCs w:val="24"/>
              </w:rPr>
              <w:t>Name/</w:t>
            </w:r>
            <w:r w:rsidRPr="00113202">
              <w:rPr>
                <w:rFonts w:eastAsia="Times New Roman" w:cs="Aparajita"/>
                <w:b/>
                <w:snapToGrid w:val="0"/>
                <w:sz w:val="24"/>
                <w:szCs w:val="24"/>
              </w:rPr>
              <w:t>Signature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0707B6AE" w14:textId="77777777" w:rsidR="007524A1" w:rsidRPr="00113202" w:rsidRDefault="007524A1" w:rsidP="00D56F36">
            <w:pPr>
              <w:widowControl w:val="0"/>
              <w:spacing w:after="0" w:line="240" w:lineRule="auto"/>
              <w:jc w:val="center"/>
              <w:rPr>
                <w:rFonts w:eastAsia="Times New Roman" w:cs="Aparajita"/>
                <w:b/>
                <w:snapToGrid w:val="0"/>
                <w:sz w:val="24"/>
                <w:szCs w:val="24"/>
              </w:rPr>
            </w:pPr>
            <w:r w:rsidRPr="00113202">
              <w:rPr>
                <w:rFonts w:eastAsia="Times New Roman" w:cs="Aparajita"/>
                <w:b/>
                <w:snapToGrid w:val="0"/>
                <w:sz w:val="24"/>
                <w:szCs w:val="24"/>
              </w:rPr>
              <w:t xml:space="preserve">Trainer </w:t>
            </w:r>
            <w:r>
              <w:rPr>
                <w:rFonts w:eastAsia="Times New Roman" w:cs="Aparajita"/>
                <w:b/>
                <w:snapToGrid w:val="0"/>
                <w:sz w:val="24"/>
                <w:szCs w:val="24"/>
              </w:rPr>
              <w:t>Name/</w:t>
            </w:r>
            <w:r w:rsidRPr="00113202">
              <w:rPr>
                <w:rFonts w:eastAsia="Times New Roman" w:cs="Aparajita"/>
                <w:b/>
                <w:snapToGrid w:val="0"/>
                <w:sz w:val="24"/>
                <w:szCs w:val="24"/>
              </w:rPr>
              <w:t>Signature</w:t>
            </w:r>
          </w:p>
        </w:tc>
        <w:tc>
          <w:tcPr>
            <w:tcW w:w="1447" w:type="dxa"/>
            <w:gridSpan w:val="2"/>
            <w:shd w:val="clear" w:color="auto" w:fill="D9D9D9" w:themeFill="background1" w:themeFillShade="D9"/>
            <w:vAlign w:val="center"/>
          </w:tcPr>
          <w:p w14:paraId="4DF7F1CC" w14:textId="77777777" w:rsidR="007524A1" w:rsidRPr="00113202" w:rsidRDefault="007524A1" w:rsidP="00D56F36">
            <w:pPr>
              <w:widowControl w:val="0"/>
              <w:spacing w:after="0" w:line="240" w:lineRule="auto"/>
              <w:jc w:val="center"/>
              <w:rPr>
                <w:rFonts w:eastAsia="Times New Roman" w:cs="Aparajita"/>
                <w:b/>
                <w:snapToGrid w:val="0"/>
                <w:sz w:val="24"/>
                <w:szCs w:val="24"/>
              </w:rPr>
            </w:pPr>
            <w:r w:rsidRPr="00113202">
              <w:rPr>
                <w:rFonts w:eastAsia="Times New Roman" w:cs="Aparajita"/>
                <w:b/>
                <w:snapToGrid w:val="0"/>
                <w:sz w:val="24"/>
                <w:szCs w:val="24"/>
              </w:rPr>
              <w:t>Training Date</w:t>
            </w:r>
          </w:p>
        </w:tc>
      </w:tr>
      <w:tr w:rsidR="007524A1" w:rsidRPr="00C85102" w14:paraId="3553BF90" w14:textId="77777777" w:rsidTr="00D56F36">
        <w:trPr>
          <w:gridBefore w:val="1"/>
          <w:wBefore w:w="15" w:type="dxa"/>
          <w:trHeight w:val="720"/>
          <w:jc w:val="center"/>
        </w:trPr>
        <w:tc>
          <w:tcPr>
            <w:tcW w:w="6190" w:type="dxa"/>
            <w:shd w:val="clear" w:color="auto" w:fill="FFFFFF" w:themeFill="background1"/>
            <w:vAlign w:val="center"/>
          </w:tcPr>
          <w:p w14:paraId="02BF6DEE" w14:textId="77777777" w:rsidR="007524A1" w:rsidRDefault="007524A1" w:rsidP="00D56F36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04E90687" w14:textId="77777777" w:rsidR="007524A1" w:rsidRDefault="007524A1" w:rsidP="00D56F36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  <w:vAlign w:val="center"/>
          </w:tcPr>
          <w:p w14:paraId="7AAC0BF5" w14:textId="77777777" w:rsidR="007524A1" w:rsidRDefault="007524A1" w:rsidP="00D56F36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7524A1" w:rsidRPr="00C85102" w14:paraId="222C7381" w14:textId="77777777" w:rsidTr="00D56F36">
        <w:trPr>
          <w:gridBefore w:val="1"/>
          <w:wBefore w:w="15" w:type="dxa"/>
          <w:trHeight w:val="720"/>
          <w:jc w:val="center"/>
        </w:trPr>
        <w:tc>
          <w:tcPr>
            <w:tcW w:w="6190" w:type="dxa"/>
            <w:shd w:val="clear" w:color="auto" w:fill="FFFFFF" w:themeFill="background1"/>
            <w:vAlign w:val="center"/>
          </w:tcPr>
          <w:p w14:paraId="68E8D4E5" w14:textId="77777777" w:rsidR="007524A1" w:rsidRDefault="007524A1" w:rsidP="00D56F36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473C5060" w14:textId="77777777" w:rsidR="007524A1" w:rsidRDefault="007524A1" w:rsidP="00D56F36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  <w:vAlign w:val="center"/>
          </w:tcPr>
          <w:p w14:paraId="6FE43E07" w14:textId="77777777" w:rsidR="007524A1" w:rsidRDefault="007524A1" w:rsidP="00D56F36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7524A1" w:rsidRPr="00C85102" w14:paraId="4FBCC52A" w14:textId="77777777" w:rsidTr="00D56F36">
        <w:trPr>
          <w:gridBefore w:val="1"/>
          <w:wBefore w:w="15" w:type="dxa"/>
          <w:trHeight w:val="720"/>
          <w:jc w:val="center"/>
        </w:trPr>
        <w:tc>
          <w:tcPr>
            <w:tcW w:w="6190" w:type="dxa"/>
            <w:shd w:val="clear" w:color="auto" w:fill="FFFFFF" w:themeFill="background1"/>
            <w:vAlign w:val="center"/>
          </w:tcPr>
          <w:p w14:paraId="1E57D124" w14:textId="77777777" w:rsidR="007524A1" w:rsidRDefault="007524A1" w:rsidP="00D56F36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29FF0B2D" w14:textId="77777777" w:rsidR="007524A1" w:rsidRDefault="007524A1" w:rsidP="00D56F36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  <w:vAlign w:val="center"/>
          </w:tcPr>
          <w:p w14:paraId="385C808F" w14:textId="77777777" w:rsidR="007524A1" w:rsidRDefault="007524A1" w:rsidP="00D56F36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7524A1" w:rsidRPr="00C85102" w14:paraId="14183EB3" w14:textId="77777777" w:rsidTr="00D56F36">
        <w:trPr>
          <w:gridBefore w:val="1"/>
          <w:wBefore w:w="15" w:type="dxa"/>
          <w:trHeight w:val="720"/>
          <w:jc w:val="center"/>
        </w:trPr>
        <w:tc>
          <w:tcPr>
            <w:tcW w:w="6190" w:type="dxa"/>
            <w:shd w:val="clear" w:color="auto" w:fill="FFFFFF" w:themeFill="background1"/>
            <w:vAlign w:val="center"/>
          </w:tcPr>
          <w:p w14:paraId="17E4C695" w14:textId="77777777" w:rsidR="007524A1" w:rsidRDefault="007524A1" w:rsidP="00D56F36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3EA3124D" w14:textId="77777777" w:rsidR="007524A1" w:rsidRDefault="007524A1" w:rsidP="00D56F36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  <w:vAlign w:val="center"/>
          </w:tcPr>
          <w:p w14:paraId="1101FB74" w14:textId="77777777" w:rsidR="007524A1" w:rsidRDefault="007524A1" w:rsidP="00D56F36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7524A1" w:rsidRPr="00C85102" w14:paraId="72DD7B00" w14:textId="77777777" w:rsidTr="00D56F36">
        <w:trPr>
          <w:gridBefore w:val="1"/>
          <w:wBefore w:w="15" w:type="dxa"/>
          <w:trHeight w:val="720"/>
          <w:jc w:val="center"/>
        </w:trPr>
        <w:tc>
          <w:tcPr>
            <w:tcW w:w="6190" w:type="dxa"/>
            <w:shd w:val="clear" w:color="auto" w:fill="FFFFFF" w:themeFill="background1"/>
            <w:vAlign w:val="center"/>
          </w:tcPr>
          <w:p w14:paraId="012A1D4B" w14:textId="77777777" w:rsidR="007524A1" w:rsidRDefault="007524A1" w:rsidP="00D56F36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47B26591" w14:textId="77777777" w:rsidR="007524A1" w:rsidRDefault="007524A1" w:rsidP="00D56F36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  <w:vAlign w:val="center"/>
          </w:tcPr>
          <w:p w14:paraId="21EF42AC" w14:textId="77777777" w:rsidR="007524A1" w:rsidRDefault="007524A1" w:rsidP="00D56F36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7524A1" w:rsidRPr="00C85102" w14:paraId="79970937" w14:textId="77777777" w:rsidTr="00D56F36">
        <w:trPr>
          <w:gridBefore w:val="1"/>
          <w:wBefore w:w="15" w:type="dxa"/>
          <w:trHeight w:val="720"/>
          <w:jc w:val="center"/>
        </w:trPr>
        <w:tc>
          <w:tcPr>
            <w:tcW w:w="6190" w:type="dxa"/>
            <w:shd w:val="clear" w:color="auto" w:fill="FFFFFF" w:themeFill="background1"/>
            <w:vAlign w:val="center"/>
          </w:tcPr>
          <w:p w14:paraId="35C4A9E2" w14:textId="77777777" w:rsidR="007524A1" w:rsidRDefault="007524A1" w:rsidP="00D56F36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54B618BE" w14:textId="77777777" w:rsidR="007524A1" w:rsidRDefault="007524A1" w:rsidP="00D56F36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  <w:vAlign w:val="center"/>
          </w:tcPr>
          <w:p w14:paraId="68E02276" w14:textId="77777777" w:rsidR="007524A1" w:rsidRDefault="007524A1" w:rsidP="00D56F36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7524A1" w:rsidRPr="00C85102" w14:paraId="11CAA322" w14:textId="77777777" w:rsidTr="00D56F36">
        <w:trPr>
          <w:gridBefore w:val="1"/>
          <w:wBefore w:w="15" w:type="dxa"/>
          <w:trHeight w:val="720"/>
          <w:jc w:val="center"/>
        </w:trPr>
        <w:tc>
          <w:tcPr>
            <w:tcW w:w="6190" w:type="dxa"/>
            <w:shd w:val="clear" w:color="auto" w:fill="FFFFFF" w:themeFill="background1"/>
            <w:vAlign w:val="center"/>
          </w:tcPr>
          <w:p w14:paraId="324988F4" w14:textId="77777777" w:rsidR="007524A1" w:rsidRDefault="007524A1" w:rsidP="00D56F36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4A17C9CA" w14:textId="77777777" w:rsidR="007524A1" w:rsidRDefault="007524A1" w:rsidP="00D56F36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  <w:vAlign w:val="center"/>
          </w:tcPr>
          <w:p w14:paraId="0DA5195C" w14:textId="77777777" w:rsidR="007524A1" w:rsidRDefault="007524A1" w:rsidP="00D56F36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7524A1" w:rsidRPr="00C85102" w14:paraId="5BAA7457" w14:textId="77777777" w:rsidTr="00D56F36">
        <w:trPr>
          <w:gridBefore w:val="1"/>
          <w:wBefore w:w="15" w:type="dxa"/>
          <w:trHeight w:val="720"/>
          <w:jc w:val="center"/>
        </w:trPr>
        <w:tc>
          <w:tcPr>
            <w:tcW w:w="6190" w:type="dxa"/>
            <w:shd w:val="clear" w:color="auto" w:fill="FFFFFF" w:themeFill="background1"/>
            <w:vAlign w:val="center"/>
          </w:tcPr>
          <w:p w14:paraId="25E1187C" w14:textId="77777777" w:rsidR="007524A1" w:rsidRDefault="007524A1" w:rsidP="00D56F36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47750B50" w14:textId="77777777" w:rsidR="007524A1" w:rsidRDefault="007524A1" w:rsidP="00D56F36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  <w:vAlign w:val="center"/>
          </w:tcPr>
          <w:p w14:paraId="703FD3BA" w14:textId="77777777" w:rsidR="007524A1" w:rsidRDefault="007524A1" w:rsidP="00D56F36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7524A1" w:rsidRPr="007524A1" w14:paraId="284BAB1B" w14:textId="77777777" w:rsidTr="00D56F36">
        <w:trPr>
          <w:gridBefore w:val="1"/>
          <w:wBefore w:w="15" w:type="dxa"/>
          <w:trHeight w:val="432"/>
          <w:jc w:val="center"/>
        </w:trPr>
        <w:tc>
          <w:tcPr>
            <w:tcW w:w="10425" w:type="dxa"/>
            <w:gridSpan w:val="4"/>
            <w:shd w:val="clear" w:color="auto" w:fill="000E2F"/>
            <w:vAlign w:val="center"/>
          </w:tcPr>
          <w:p w14:paraId="353E0B7E" w14:textId="77777777" w:rsidR="007524A1" w:rsidRPr="007524A1" w:rsidRDefault="007524A1" w:rsidP="00D56F36">
            <w:pPr>
              <w:widowControl w:val="0"/>
              <w:spacing w:after="0" w:line="240" w:lineRule="auto"/>
              <w:rPr>
                <w:rFonts w:eastAsia="Times New Roman" w:cs="Aparajita"/>
                <w:b/>
                <w:snapToGrid w:val="0"/>
                <w:color w:val="FFFFFF" w:themeColor="background1"/>
                <w:sz w:val="24"/>
                <w:szCs w:val="24"/>
              </w:rPr>
            </w:pPr>
            <w:r w:rsidRPr="007524A1">
              <w:rPr>
                <w:rFonts w:eastAsia="Times New Roman" w:cs="Aparajita"/>
                <w:b/>
                <w:snapToGrid w:val="0"/>
                <w:color w:val="FFFFFF" w:themeColor="background1"/>
                <w:sz w:val="24"/>
                <w:szCs w:val="24"/>
              </w:rPr>
              <w:t>SECTION 12B.</w:t>
            </w:r>
            <w:r w:rsidRPr="007524A1">
              <w:rPr>
                <w:rFonts w:cs="Aparajita"/>
                <w:b/>
                <w:color w:val="FFFFFF" w:themeColor="background1"/>
                <w:sz w:val="24"/>
                <w:szCs w:val="24"/>
              </w:rPr>
              <w:t xml:space="preserve">    PRINCIPAL INVESTIGATOR CERTIFICATION</w:t>
            </w:r>
          </w:p>
        </w:tc>
      </w:tr>
      <w:tr w:rsidR="007524A1" w:rsidRPr="004A0961" w14:paraId="03435BC8" w14:textId="77777777" w:rsidTr="00D56F36">
        <w:trPr>
          <w:gridAfter w:val="1"/>
          <w:wAfter w:w="15" w:type="dxa"/>
          <w:trHeight w:val="432"/>
          <w:jc w:val="center"/>
        </w:trPr>
        <w:tc>
          <w:tcPr>
            <w:tcW w:w="10425" w:type="dxa"/>
            <w:gridSpan w:val="4"/>
            <w:shd w:val="clear" w:color="auto" w:fill="FFFFFF" w:themeFill="background1"/>
            <w:vAlign w:val="center"/>
          </w:tcPr>
          <w:p w14:paraId="79EFE579" w14:textId="77777777" w:rsidR="007524A1" w:rsidRPr="004A0961" w:rsidRDefault="007524A1" w:rsidP="00D56F36">
            <w:pPr>
              <w:widowControl w:val="0"/>
              <w:spacing w:before="40" w:after="40" w:line="240" w:lineRule="auto"/>
              <w:rPr>
                <w:rFonts w:eastAsia="Times New Roman" w:cs="Aparajita"/>
                <w:snapToGrid w:val="0"/>
              </w:rPr>
            </w:pPr>
            <w:r w:rsidRPr="004A0961">
              <w:rPr>
                <w:rFonts w:eastAsia="Times New Roman" w:cs="Aparajita"/>
                <w:snapToGrid w:val="0"/>
              </w:rPr>
              <w:t>I approve the contents of the lab-specific standard operating procedure listed above</w:t>
            </w:r>
            <w:r>
              <w:rPr>
                <w:rFonts w:eastAsia="Times New Roman" w:cs="Aparajita"/>
                <w:snapToGrid w:val="0"/>
              </w:rPr>
              <w:t>.</w:t>
            </w:r>
          </w:p>
        </w:tc>
      </w:tr>
      <w:tr w:rsidR="007524A1" w:rsidRPr="00113202" w14:paraId="4E15D581" w14:textId="77777777" w:rsidTr="00D56F36">
        <w:trPr>
          <w:gridAfter w:val="1"/>
          <w:wAfter w:w="15" w:type="dxa"/>
          <w:trHeight w:val="827"/>
          <w:jc w:val="center"/>
        </w:trPr>
        <w:tc>
          <w:tcPr>
            <w:tcW w:w="8993" w:type="dxa"/>
            <w:gridSpan w:val="3"/>
            <w:shd w:val="clear" w:color="auto" w:fill="FFFFFF" w:themeFill="background1"/>
          </w:tcPr>
          <w:p w14:paraId="4A24AED8" w14:textId="77777777" w:rsidR="007524A1" w:rsidRPr="00113202" w:rsidRDefault="007524A1" w:rsidP="00D56F36">
            <w:pPr>
              <w:widowControl w:val="0"/>
              <w:spacing w:before="120" w:after="0" w:line="240" w:lineRule="auto"/>
              <w:rPr>
                <w:rFonts w:eastAsia="Times New Roman" w:cs="Aparajita"/>
                <w:b/>
                <w:snapToGrid w:val="0"/>
              </w:rPr>
            </w:pPr>
            <w:r>
              <w:rPr>
                <w:rFonts w:eastAsia="Times New Roman" w:cs="Aparajita"/>
                <w:b/>
                <w:snapToGrid w:val="0"/>
              </w:rPr>
              <w:t xml:space="preserve">PI </w:t>
            </w:r>
            <w:r w:rsidRPr="00113202">
              <w:rPr>
                <w:rFonts w:eastAsia="Times New Roman" w:cs="Aparajita"/>
                <w:b/>
                <w:snapToGrid w:val="0"/>
              </w:rPr>
              <w:t>Signature:</w:t>
            </w:r>
          </w:p>
        </w:tc>
        <w:tc>
          <w:tcPr>
            <w:tcW w:w="1432" w:type="dxa"/>
            <w:shd w:val="clear" w:color="auto" w:fill="FFFFFF" w:themeFill="background1"/>
          </w:tcPr>
          <w:p w14:paraId="7C546E3B" w14:textId="77777777" w:rsidR="007524A1" w:rsidRPr="00113202" w:rsidRDefault="007524A1" w:rsidP="00D56F36">
            <w:pPr>
              <w:widowControl w:val="0"/>
              <w:spacing w:before="120" w:after="0" w:line="240" w:lineRule="auto"/>
              <w:rPr>
                <w:rFonts w:eastAsia="Times New Roman" w:cs="Aparajita"/>
                <w:b/>
                <w:snapToGrid w:val="0"/>
              </w:rPr>
            </w:pPr>
            <w:r w:rsidRPr="00113202">
              <w:rPr>
                <w:rFonts w:eastAsia="Times New Roman" w:cs="Aparajita"/>
                <w:b/>
                <w:snapToGrid w:val="0"/>
              </w:rPr>
              <w:t>Date:</w:t>
            </w:r>
          </w:p>
        </w:tc>
      </w:tr>
      <w:tr w:rsidR="007524A1" w:rsidRPr="007524A1" w14:paraId="1442C760" w14:textId="77777777" w:rsidTr="00D56F36">
        <w:trPr>
          <w:gridAfter w:val="1"/>
          <w:wAfter w:w="15" w:type="dxa"/>
          <w:trHeight w:val="432"/>
          <w:jc w:val="center"/>
        </w:trPr>
        <w:tc>
          <w:tcPr>
            <w:tcW w:w="10425" w:type="dxa"/>
            <w:gridSpan w:val="4"/>
            <w:shd w:val="clear" w:color="auto" w:fill="000E2F"/>
            <w:vAlign w:val="center"/>
          </w:tcPr>
          <w:p w14:paraId="36AC8A4F" w14:textId="77777777" w:rsidR="007524A1" w:rsidRPr="007524A1" w:rsidRDefault="007524A1" w:rsidP="00D56F36">
            <w:pPr>
              <w:widowControl w:val="0"/>
              <w:spacing w:after="0" w:line="240" w:lineRule="auto"/>
              <w:jc w:val="center"/>
              <w:rPr>
                <w:rFonts w:eastAsia="Times New Roman" w:cs="Aparajita"/>
                <w:b/>
                <w:snapToGrid w:val="0"/>
                <w:color w:val="FFFFFF" w:themeColor="background1"/>
                <w:sz w:val="24"/>
                <w:szCs w:val="24"/>
              </w:rPr>
            </w:pPr>
            <w:r w:rsidRPr="007524A1">
              <w:rPr>
                <w:rFonts w:eastAsia="Times New Roman" w:cs="Aparajita"/>
                <w:b/>
                <w:snapToGrid w:val="0"/>
                <w:color w:val="FFFFFF" w:themeColor="background1"/>
                <w:sz w:val="24"/>
                <w:szCs w:val="24"/>
              </w:rPr>
              <w:t>A HARD OR ELECTRONIC COPY (https://bruckner.research.uconn.edu/safety-resources/) OF EACH LAB-SPECIFIC STANDARD OPERATING PROCEDURE MUST BE READILY AVAILBALE IN THE LAB.</w:t>
            </w:r>
          </w:p>
        </w:tc>
      </w:tr>
    </w:tbl>
    <w:p w14:paraId="60E77D13" w14:textId="77777777" w:rsidR="007524A1" w:rsidRDefault="007524A1" w:rsidP="007524A1"/>
    <w:p w14:paraId="2BB61B85" w14:textId="77777777" w:rsidR="004624FA" w:rsidRDefault="004624FA"/>
    <w:sectPr w:rsidR="004624FA">
      <w:pgSz w:w="12240" w:h="15840"/>
      <w:pgMar w:top="1071" w:right="1440" w:bottom="1035" w:left="1440" w:header="288" w:footer="49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A0F9A" w14:textId="77777777" w:rsidR="00901F8E" w:rsidRDefault="00901F8E">
      <w:pPr>
        <w:spacing w:after="0" w:line="240" w:lineRule="auto"/>
      </w:pPr>
      <w:r>
        <w:separator/>
      </w:r>
    </w:p>
  </w:endnote>
  <w:endnote w:type="continuationSeparator" w:id="0">
    <w:p w14:paraId="48816E59" w14:textId="77777777" w:rsidR="00901F8E" w:rsidRDefault="0090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altName w:val="Devanagari Sangam MN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3148891"/>
      <w:docPartObj>
        <w:docPartGallery w:val="Page Numbers (Bottom of Page)"/>
        <w:docPartUnique/>
      </w:docPartObj>
    </w:sdtPr>
    <w:sdtEndPr/>
    <w:sdtContent>
      <w:sdt>
        <w:sdtPr>
          <w:id w:val="-1574811382"/>
          <w:docPartObj>
            <w:docPartGallery w:val="Page Numbers (Top of Page)"/>
            <w:docPartUnique/>
          </w:docPartObj>
        </w:sdtPr>
        <w:sdtEndPr/>
        <w:sdtContent>
          <w:p w14:paraId="02681C81" w14:textId="7A246BE0" w:rsidR="00D56F36" w:rsidRPr="00737B74" w:rsidRDefault="00737B74" w:rsidP="00737B74">
            <w:pPr>
              <w:pStyle w:val="Footer"/>
              <w:jc w:val="right"/>
            </w:pPr>
            <w:r w:rsidRPr="00A61E18">
              <w:rPr>
                <w:sz w:val="20"/>
                <w:szCs w:val="20"/>
              </w:rPr>
              <w:t xml:space="preserve">Page </w:t>
            </w:r>
            <w:r w:rsidRPr="00A61E18">
              <w:rPr>
                <w:bCs/>
                <w:sz w:val="20"/>
                <w:szCs w:val="20"/>
              </w:rPr>
              <w:fldChar w:fldCharType="begin"/>
            </w:r>
            <w:r w:rsidRPr="00A61E18">
              <w:rPr>
                <w:bCs/>
                <w:sz w:val="20"/>
                <w:szCs w:val="20"/>
              </w:rPr>
              <w:instrText xml:space="preserve"> PAGE </w:instrText>
            </w:r>
            <w:r w:rsidRPr="00A61E18">
              <w:rPr>
                <w:bCs/>
                <w:sz w:val="20"/>
                <w:szCs w:val="20"/>
              </w:rPr>
              <w:fldChar w:fldCharType="separate"/>
            </w:r>
            <w:r w:rsidR="00E31897">
              <w:rPr>
                <w:bCs/>
                <w:noProof/>
                <w:sz w:val="20"/>
                <w:szCs w:val="20"/>
              </w:rPr>
              <w:t>4</w:t>
            </w:r>
            <w:r w:rsidRPr="00A61E18">
              <w:rPr>
                <w:bCs/>
                <w:sz w:val="20"/>
                <w:szCs w:val="20"/>
              </w:rPr>
              <w:fldChar w:fldCharType="end"/>
            </w:r>
            <w:r w:rsidRPr="00A61E18">
              <w:rPr>
                <w:sz w:val="20"/>
                <w:szCs w:val="20"/>
              </w:rPr>
              <w:t xml:space="preserve"> of </w:t>
            </w:r>
            <w:r w:rsidRPr="00A61E18">
              <w:rPr>
                <w:bCs/>
                <w:sz w:val="20"/>
                <w:szCs w:val="20"/>
              </w:rPr>
              <w:fldChar w:fldCharType="begin"/>
            </w:r>
            <w:r w:rsidRPr="00A61E18">
              <w:rPr>
                <w:bCs/>
                <w:sz w:val="20"/>
                <w:szCs w:val="20"/>
              </w:rPr>
              <w:instrText xml:space="preserve"> NUMPAGES  </w:instrText>
            </w:r>
            <w:r w:rsidRPr="00A61E18">
              <w:rPr>
                <w:bCs/>
                <w:sz w:val="20"/>
                <w:szCs w:val="20"/>
              </w:rPr>
              <w:fldChar w:fldCharType="separate"/>
            </w:r>
            <w:r w:rsidR="00E31897">
              <w:rPr>
                <w:bCs/>
                <w:noProof/>
                <w:sz w:val="20"/>
                <w:szCs w:val="20"/>
              </w:rPr>
              <w:t>4</w:t>
            </w:r>
            <w:r w:rsidRPr="00A61E1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-114758117"/>
          <w:docPartObj>
            <w:docPartGallery w:val="Page Numbers (Top of Page)"/>
            <w:docPartUnique/>
          </w:docPartObj>
        </w:sdtPr>
        <w:sdtEndPr/>
        <w:sdtContent>
          <w:p w14:paraId="1384271B" w14:textId="07CECF27" w:rsidR="00D56F36" w:rsidRPr="00737B74" w:rsidRDefault="00737B74" w:rsidP="00737B74">
            <w:pPr>
              <w:pStyle w:val="Footer"/>
              <w:rPr>
                <w:sz w:val="20"/>
                <w:szCs w:val="20"/>
              </w:rPr>
            </w:pPr>
            <w:r w:rsidRPr="009E38AC">
              <w:rPr>
                <w:i/>
                <w:sz w:val="20"/>
                <w:szCs w:val="20"/>
              </w:rPr>
              <w:t>CB-LSOP-Template-Nov 2017</w:t>
            </w:r>
            <w:r w:rsidRPr="009E38AC">
              <w:rPr>
                <w:i/>
                <w:sz w:val="20"/>
                <w:szCs w:val="20"/>
              </w:rPr>
              <w:tab/>
            </w:r>
            <w:r w:rsidRPr="009E38AC">
              <w:rPr>
                <w:i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9E38AC">
                  <w:rPr>
                    <w:sz w:val="20"/>
                    <w:szCs w:val="20"/>
                  </w:rPr>
                  <w:t xml:space="preserve">                                                                                   Page </w:t>
                </w:r>
                <w:r w:rsidRPr="009E38AC">
                  <w:rPr>
                    <w:bCs/>
                    <w:sz w:val="20"/>
                    <w:szCs w:val="20"/>
                  </w:rPr>
                  <w:fldChar w:fldCharType="begin"/>
                </w:r>
                <w:r w:rsidRPr="009E38AC">
                  <w:rPr>
                    <w:bCs/>
                    <w:sz w:val="20"/>
                    <w:szCs w:val="20"/>
                  </w:rPr>
                  <w:instrText xml:space="preserve"> PAGE </w:instrText>
                </w:r>
                <w:r w:rsidRPr="009E38AC">
                  <w:rPr>
                    <w:bCs/>
                    <w:sz w:val="20"/>
                    <w:szCs w:val="20"/>
                  </w:rPr>
                  <w:fldChar w:fldCharType="separate"/>
                </w:r>
                <w:r w:rsidR="00E31897">
                  <w:rPr>
                    <w:bCs/>
                    <w:noProof/>
                    <w:sz w:val="20"/>
                    <w:szCs w:val="20"/>
                  </w:rPr>
                  <w:t>1</w:t>
                </w:r>
                <w:r w:rsidRPr="009E38AC">
                  <w:rPr>
                    <w:bCs/>
                    <w:sz w:val="20"/>
                    <w:szCs w:val="20"/>
                  </w:rPr>
                  <w:fldChar w:fldCharType="end"/>
                </w:r>
                <w:r w:rsidRPr="009E38AC">
                  <w:rPr>
                    <w:sz w:val="20"/>
                    <w:szCs w:val="20"/>
                  </w:rPr>
                  <w:t xml:space="preserve"> of </w:t>
                </w:r>
                <w:r w:rsidRPr="009E38AC">
                  <w:rPr>
                    <w:bCs/>
                    <w:sz w:val="20"/>
                    <w:szCs w:val="20"/>
                  </w:rPr>
                  <w:fldChar w:fldCharType="begin"/>
                </w:r>
                <w:r w:rsidRPr="009E38AC">
                  <w:rPr>
                    <w:bCs/>
                    <w:sz w:val="20"/>
                    <w:szCs w:val="20"/>
                  </w:rPr>
                  <w:instrText xml:space="preserve"> NUMPAGES  </w:instrText>
                </w:r>
                <w:r w:rsidRPr="009E38AC">
                  <w:rPr>
                    <w:bCs/>
                    <w:sz w:val="20"/>
                    <w:szCs w:val="20"/>
                  </w:rPr>
                  <w:fldChar w:fldCharType="separate"/>
                </w:r>
                <w:r w:rsidR="00E31897">
                  <w:rPr>
                    <w:bCs/>
                    <w:noProof/>
                    <w:sz w:val="20"/>
                    <w:szCs w:val="20"/>
                  </w:rPr>
                  <w:t>4</w:t>
                </w:r>
                <w:r w:rsidRPr="009E38AC">
                  <w:rPr>
                    <w:bCs/>
                    <w:sz w:val="20"/>
                    <w:szCs w:val="20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988E7" w14:textId="77777777" w:rsidR="00901F8E" w:rsidRDefault="00901F8E">
      <w:pPr>
        <w:spacing w:after="0" w:line="240" w:lineRule="auto"/>
      </w:pPr>
      <w:r>
        <w:separator/>
      </w:r>
    </w:p>
  </w:footnote>
  <w:footnote w:type="continuationSeparator" w:id="0">
    <w:p w14:paraId="0AD76271" w14:textId="77777777" w:rsidR="00901F8E" w:rsidRDefault="0090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92A4A" w14:textId="77777777" w:rsidR="00D56F36" w:rsidRDefault="00D56F36">
    <w:pPr>
      <w:tabs>
        <w:tab w:val="right" w:pos="10170"/>
      </w:tabs>
      <w:spacing w:after="0" w:line="240" w:lineRule="auto"/>
      <w:rPr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8C159" w14:textId="77777777" w:rsidR="00D56F36" w:rsidRDefault="00D56F36">
    <w:pPr>
      <w:tabs>
        <w:tab w:val="center" w:pos="4680"/>
        <w:tab w:val="right" w:pos="9360"/>
      </w:tabs>
      <w:spacing w:after="0" w:line="240" w:lineRule="auto"/>
      <w:ind w:left="-576"/>
    </w:pPr>
    <w:r>
      <w:rPr>
        <w:noProof/>
      </w:rPr>
      <w:drawing>
        <wp:inline distT="0" distB="0" distL="0" distR="0" wp14:anchorId="74353614" wp14:editId="38689E11">
          <wp:extent cx="1311910" cy="38989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1910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  <w:t xml:space="preserve">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084D54F" wp14:editId="22F7F717">
              <wp:simplePos x="0" y="0"/>
              <wp:positionH relativeFrom="margin">
                <wp:posOffset>2882900</wp:posOffset>
              </wp:positionH>
              <wp:positionV relativeFrom="paragraph">
                <wp:posOffset>-63499</wp:posOffset>
              </wp:positionV>
              <wp:extent cx="3441700" cy="8509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26738" y="3355503"/>
                        <a:ext cx="3438525" cy="848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AF47CB" w14:textId="77777777" w:rsidR="00D56F36" w:rsidRDefault="00D56F3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808080"/>
                              <w:sz w:val="32"/>
                            </w:rPr>
                            <w:t xml:space="preserve">Policies, Programs </w:t>
                          </w:r>
                        </w:p>
                        <w:p w14:paraId="0161E834" w14:textId="77777777" w:rsidR="00D56F36" w:rsidRDefault="00D56F3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808080"/>
                              <w:sz w:val="32"/>
                            </w:rPr>
                            <w:t>and Procedures</w:t>
                          </w: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2084D54F" id="Rectangle 2" o:spid="_x0000_s1026" style="position:absolute;left:0;text-align:left;margin-left:227pt;margin-top:-5pt;width:271pt;height:6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2kWjzAEAAHoDAAAOAAAAZHJzL2Uyb0RvYy54bWysU8GOmzAQvVfqP1i+NxAI2QSF7GFXqSpV&#13;&#10;7arb/QBjDFgytjv2BvL3HRt2N21vq3IwM/bjed6b4XA7DYqcBThpdEXXq5QSoblppO4q+vTz9GlH&#13;&#10;ifNMN0wZLSp6EY7eHj9+OIy2FJnpjWoEECTRrhxtRXvvbZkkjvdiYG5lrNB42BoYmMcUuqQBNiL7&#13;&#10;oJIsTbfJaKCxYLhwDnfv50N6jPxtK7j/3rZOeKIqirX5uEJc67AmxwMrO2C2l3wpg72jioFJjZe+&#13;&#10;Ut0zz8gzyH+oBsnBONP6FTdDYtpWchE1oJp1+peax55ZEbWgOc6+2uT+Hy3/dn4AIpuKZpRoNmCL&#13;&#10;fqBpTHdKkCzYM1pXIurRPsCSOQyD1qmFIbxRBZkqmm+z7U2O/b5gnBdFkeazvWLyhAfAJt8VWUEJ&#13;&#10;R8Rus9vviwBI3pgsOP9ZmIGEoKKAlURX2fmr8zP0BRIudkbJ5iSVigl09Z0CcmbY6lN8FvY/YEoH&#13;&#10;sDbhs5kx7CRB5awrRH6qp0VsbZoLOjTiiFTU/XpmIChRXzT2YL/eBDU+JpviJsUBg+uT+vqEad4b&#13;&#10;nDxPyRze+TiHoYhwJzY4erEMY5ig6zyi3n6Z428AAAD//wMAUEsDBBQABgAIAAAAIQCUx5yO4gAA&#13;&#10;ABABAAAPAAAAZHJzL2Rvd25yZXYueG1sTE9BTsMwELwj8Qdrkbi1dqu0atM4FSrihoRIQXB04iWJ&#13;&#10;Gq+j2EnD71lOcFnNamZnZ7Lj7Dox4RBaTxpWSwUCqfK2pVrD2/lpsQMRoiFrOk+o4RsDHPPbm8yk&#13;&#10;1l/pFaci1oJNKKRGQxNjn0oZqgadCUvfIzH35QdnIq9DLe1grmzuOrlWaiudaYk/NKbHU4PVpRid&#13;&#10;hm5SyftHufncFW2Nz5d5OvnxRev7u/nxwOPhACLiHP8u4LcD54ecg5V+JBtEpyHZJFwoalisFANW&#13;&#10;7PdbBiVL10zJPJP/i+Q/AAAA//8DAFBLAQItABQABgAIAAAAIQC2gziS/gAAAOEBAAATAAAAAAAA&#13;&#10;AAAAAAAAAAAAAABbQ29udGVudF9UeXBlc10ueG1sUEsBAi0AFAAGAAgAAAAhADj9If/WAAAAlAEA&#13;&#10;AAsAAAAAAAAAAAAAAAAALwEAAF9yZWxzLy5yZWxzUEsBAi0AFAAGAAgAAAAhAMPaRaPMAQAAegMA&#13;&#10;AA4AAAAAAAAAAAAAAAAALgIAAGRycy9lMm9Eb2MueG1sUEsBAi0AFAAGAAgAAAAhAJTHnI7iAAAA&#13;&#10;EAEAAA8AAAAAAAAAAAAAAAAAJgQAAGRycy9kb3ducmV2LnhtbFBLBQYAAAAABAAEAPMAAAA1BQAA&#13;&#10;AAA=&#13;&#10;" stroked="f">
              <v:textbox inset="2.53958mm,1.2694mm,2.53958mm,1.2694mm">
                <w:txbxContent>
                  <w:p w14:paraId="0AAF47CB" w14:textId="77777777" w:rsidR="00D56F36" w:rsidRDefault="00D56F36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808080"/>
                        <w:sz w:val="32"/>
                      </w:rPr>
                      <w:t xml:space="preserve">Policies, Programs </w:t>
                    </w:r>
                  </w:p>
                  <w:p w14:paraId="0161E834" w14:textId="77777777" w:rsidR="00D56F36" w:rsidRDefault="00D56F36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808080"/>
                        <w:sz w:val="32"/>
                      </w:rPr>
                      <w:t>and Procedures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E6B"/>
    <w:multiLevelType w:val="hybridMultilevel"/>
    <w:tmpl w:val="D3CA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04EC"/>
    <w:multiLevelType w:val="hybridMultilevel"/>
    <w:tmpl w:val="0544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35B9"/>
    <w:multiLevelType w:val="multilevel"/>
    <w:tmpl w:val="57CCA4F4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965D00"/>
    <w:multiLevelType w:val="hybridMultilevel"/>
    <w:tmpl w:val="DB107956"/>
    <w:lvl w:ilvl="0" w:tplc="3EB63AD0">
      <w:numFmt w:val="bullet"/>
      <w:lvlText w:val="•"/>
      <w:lvlJc w:val="left"/>
      <w:pPr>
        <w:ind w:left="1080" w:hanging="720"/>
      </w:pPr>
      <w:rPr>
        <w:rFonts w:ascii="Calibri" w:eastAsia="Times New Roman" w:hAnsi="Calibri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6F8D"/>
    <w:multiLevelType w:val="multilevel"/>
    <w:tmpl w:val="66A0A9B2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752A02"/>
    <w:multiLevelType w:val="multilevel"/>
    <w:tmpl w:val="8ABA62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C57B5B"/>
    <w:multiLevelType w:val="hybridMultilevel"/>
    <w:tmpl w:val="463E065A"/>
    <w:lvl w:ilvl="0" w:tplc="5F92CED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2288E"/>
    <w:multiLevelType w:val="multilevel"/>
    <w:tmpl w:val="F780A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2C6917"/>
    <w:multiLevelType w:val="hybridMultilevel"/>
    <w:tmpl w:val="EF704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09100B"/>
    <w:multiLevelType w:val="multilevel"/>
    <w:tmpl w:val="77963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6F3C4F"/>
    <w:multiLevelType w:val="multilevel"/>
    <w:tmpl w:val="D5D84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3058C9"/>
    <w:multiLevelType w:val="multilevel"/>
    <w:tmpl w:val="D75200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E46D44"/>
    <w:multiLevelType w:val="multilevel"/>
    <w:tmpl w:val="3F561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2564279"/>
    <w:multiLevelType w:val="multilevel"/>
    <w:tmpl w:val="A13047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A36681E"/>
    <w:multiLevelType w:val="hybridMultilevel"/>
    <w:tmpl w:val="3ECA3282"/>
    <w:lvl w:ilvl="0" w:tplc="09A43AD2">
      <w:start w:val="1"/>
      <w:numFmt w:val="decimal"/>
      <w:lvlText w:val="%1."/>
      <w:lvlJc w:val="left"/>
      <w:pPr>
        <w:ind w:left="720" w:hanging="360"/>
      </w:pPr>
    </w:lvl>
    <w:lvl w:ilvl="1" w:tplc="F3C2D920">
      <w:start w:val="1"/>
      <w:numFmt w:val="lowerLetter"/>
      <w:lvlText w:val="%2."/>
      <w:lvlJc w:val="left"/>
      <w:pPr>
        <w:ind w:left="1440" w:hanging="360"/>
      </w:pPr>
    </w:lvl>
    <w:lvl w:ilvl="2" w:tplc="26723A22">
      <w:start w:val="1"/>
      <w:numFmt w:val="lowerRoman"/>
      <w:lvlText w:val="%3."/>
      <w:lvlJc w:val="right"/>
      <w:pPr>
        <w:ind w:left="2160" w:hanging="180"/>
      </w:pPr>
    </w:lvl>
    <w:lvl w:ilvl="3" w:tplc="9F9A3FD2">
      <w:start w:val="1"/>
      <w:numFmt w:val="decimal"/>
      <w:lvlText w:val="%4."/>
      <w:lvlJc w:val="left"/>
      <w:pPr>
        <w:ind w:left="2880" w:hanging="360"/>
      </w:pPr>
    </w:lvl>
    <w:lvl w:ilvl="4" w:tplc="AE3234C6">
      <w:start w:val="1"/>
      <w:numFmt w:val="lowerLetter"/>
      <w:lvlText w:val="%5."/>
      <w:lvlJc w:val="left"/>
      <w:pPr>
        <w:ind w:left="3600" w:hanging="360"/>
      </w:pPr>
    </w:lvl>
    <w:lvl w:ilvl="5" w:tplc="17E2B866">
      <w:start w:val="1"/>
      <w:numFmt w:val="lowerRoman"/>
      <w:lvlText w:val="%6."/>
      <w:lvlJc w:val="right"/>
      <w:pPr>
        <w:ind w:left="4320" w:hanging="180"/>
      </w:pPr>
    </w:lvl>
    <w:lvl w:ilvl="6" w:tplc="BDD2B3B0">
      <w:start w:val="1"/>
      <w:numFmt w:val="decimal"/>
      <w:lvlText w:val="%7."/>
      <w:lvlJc w:val="left"/>
      <w:pPr>
        <w:ind w:left="5040" w:hanging="360"/>
      </w:pPr>
    </w:lvl>
    <w:lvl w:ilvl="7" w:tplc="1854A5A8">
      <w:start w:val="1"/>
      <w:numFmt w:val="lowerLetter"/>
      <w:lvlText w:val="%8."/>
      <w:lvlJc w:val="left"/>
      <w:pPr>
        <w:ind w:left="5760" w:hanging="360"/>
      </w:pPr>
    </w:lvl>
    <w:lvl w:ilvl="8" w:tplc="A5A4F7A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7226E"/>
    <w:multiLevelType w:val="multilevel"/>
    <w:tmpl w:val="0A8C0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C62381A"/>
    <w:multiLevelType w:val="hybridMultilevel"/>
    <w:tmpl w:val="151E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  <w:num w:numId="15">
    <w:abstractNumId w:val="1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24FA"/>
    <w:rsid w:val="00037949"/>
    <w:rsid w:val="000A0118"/>
    <w:rsid w:val="000B484B"/>
    <w:rsid w:val="00245FB1"/>
    <w:rsid w:val="00262D21"/>
    <w:rsid w:val="004624FA"/>
    <w:rsid w:val="005102AD"/>
    <w:rsid w:val="00530586"/>
    <w:rsid w:val="00621342"/>
    <w:rsid w:val="006244EC"/>
    <w:rsid w:val="00662916"/>
    <w:rsid w:val="00737B74"/>
    <w:rsid w:val="007524A1"/>
    <w:rsid w:val="0090037A"/>
    <w:rsid w:val="00901F8E"/>
    <w:rsid w:val="00966F70"/>
    <w:rsid w:val="00D56F36"/>
    <w:rsid w:val="00E31897"/>
    <w:rsid w:val="00FE4BDF"/>
    <w:rsid w:val="66C3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D12B97"/>
  <w15:docId w15:val="{670DC4FA-2E6C-F24E-A7EB-B0CEF329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4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BDF"/>
  </w:style>
  <w:style w:type="paragraph" w:styleId="Footer">
    <w:name w:val="footer"/>
    <w:basedOn w:val="Normal"/>
    <w:link w:val="FooterChar"/>
    <w:uiPriority w:val="99"/>
    <w:unhideWhenUsed/>
    <w:rsid w:val="00FE4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BDF"/>
  </w:style>
  <w:style w:type="character" w:styleId="Hyperlink">
    <w:name w:val="Hyperlink"/>
    <w:basedOn w:val="DefaultParagraphFont"/>
    <w:uiPriority w:val="99"/>
    <w:unhideWhenUsed/>
    <w:rsid w:val="00966F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F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uconn.edu/2012/07/30/working-alone-policy/" TargetMode="External"/><Relationship Id="rId13" Type="http://schemas.openxmlformats.org/officeDocument/2006/relationships/header" Target="header2.xml"/><Relationship Id="rId18" Type="http://schemas.openxmlformats.org/officeDocument/2006/relationships/hyperlink" Target="http://policy.uconn.edu/2011/05/19/health-and-safety-polic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hs.uconn.edu/Chemical/?p=training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borch.agsci.colostate.edu/files/2016/02/HPLC-SOP-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hs.uconn.edu/Chemical/ChemWasteDisp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ehs.uconn.edu/Regulated%20Waste%20Management/index.php" TargetMode="External"/><Relationship Id="rId10" Type="http://schemas.openxmlformats.org/officeDocument/2006/relationships/hyperlink" Target="https://www.google.com/url?sa=t&amp;rct=j&amp;q=&amp;esrc=s&amp;source=web&amp;cd=1&amp;ved=0ahUKEwiF3bPe1dPXAhVRRN8KHX4wDf4QFggmMAA&amp;url=https%3A%2F%2Fchemistry.uconn.edu%2Fwp-content%2Fuploads%2Fsites%2F1259%2F2015%2F09%2FIncident-Report-Form.doc&amp;usg=AOvVaw3Uov8IQ2Z-Kan" TargetMode="External"/><Relationship Id="rId19" Type="http://schemas.openxmlformats.org/officeDocument/2006/relationships/hyperlink" Target="http://policy.uconn.edu/2011/05/17/employee-code-of-condu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1&amp;ved=0ahUKEwiF3bPe1dPXAhVRRN8KHX4wDf4QFggmMAA&amp;url=https%3A%2F%2Fchemistry.uconn.edu%2Fwp-content%2Fuploads%2Fsites%2F1259%2F2015%2F09%2FIncident-Report-Form.doc&amp;usg=AOvVaw3Uov8IQ2Z-Ka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1233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Brückner</cp:lastModifiedBy>
  <cp:revision>10</cp:revision>
  <cp:lastPrinted>2018-04-18T00:18:00Z</cp:lastPrinted>
  <dcterms:created xsi:type="dcterms:W3CDTF">2017-11-21T20:48:00Z</dcterms:created>
  <dcterms:modified xsi:type="dcterms:W3CDTF">2018-04-18T00:18:00Z</dcterms:modified>
</cp:coreProperties>
</file>