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04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90"/>
        <w:gridCol w:w="5235"/>
      </w:tblGrid>
      <w:tr w:rsidR="007B32E3" w14:paraId="59B87E5B" w14:textId="77777777" w:rsidTr="6647E6A1">
        <w:trPr>
          <w:trHeight w:val="720"/>
          <w:jc w:val="center"/>
        </w:trPr>
        <w:tc>
          <w:tcPr>
            <w:tcW w:w="10425" w:type="dxa"/>
            <w:gridSpan w:val="2"/>
            <w:shd w:val="clear" w:color="auto" w:fill="10253F"/>
            <w:vAlign w:val="center"/>
          </w:tcPr>
          <w:p w14:paraId="305812CD" w14:textId="77777777" w:rsidR="007B32E3" w:rsidRPr="00AC2282" w:rsidRDefault="00AC2282">
            <w:pPr>
              <w:pStyle w:val="Normal1"/>
              <w:widowControl w:val="0"/>
              <w:spacing w:before="80" w:after="80" w:line="240" w:lineRule="auto"/>
              <w:jc w:val="center"/>
              <w:rPr>
                <w:rFonts w:ascii="Aparajita" w:eastAsia="Aparajita" w:hAnsi="Aparajita" w:cs="Aparajita"/>
                <w:b/>
                <w:color w:val="FFFFFF" w:themeColor="background1"/>
                <w:sz w:val="28"/>
                <w:szCs w:val="28"/>
              </w:rPr>
            </w:pPr>
            <w:r w:rsidRPr="00AC2282">
              <w:rPr>
                <w:rFonts w:ascii="Aparajita" w:eastAsia="Aparajita" w:hAnsi="Aparajita" w:cs="Aparajita"/>
                <w:b/>
                <w:color w:val="FFFFFF" w:themeColor="background1"/>
                <w:sz w:val="28"/>
                <w:szCs w:val="28"/>
              </w:rPr>
              <w:t xml:space="preserve">Brueckner Lab-Specific Standard Operating Procedure (LSOP) </w:t>
            </w:r>
          </w:p>
          <w:p w14:paraId="3DD61A37" w14:textId="77777777" w:rsidR="00AC2282" w:rsidRPr="00AC2282" w:rsidRDefault="00AC2282">
            <w:pPr>
              <w:pStyle w:val="Normal1"/>
              <w:widowControl w:val="0"/>
              <w:spacing w:before="80" w:after="80" w:line="240" w:lineRule="auto"/>
              <w:jc w:val="center"/>
              <w:rPr>
                <w:rFonts w:ascii="Aparajita" w:eastAsia="Aparajita" w:hAnsi="Aparajita" w:cs="Aparajita"/>
                <w:b/>
                <w:color w:val="FFFFFF" w:themeColor="background1"/>
                <w:sz w:val="28"/>
                <w:szCs w:val="28"/>
              </w:rPr>
            </w:pPr>
            <w:r w:rsidRPr="00AC2282">
              <w:rPr>
                <w:rFonts w:ascii="Aparajita" w:eastAsia="Aparajita" w:hAnsi="Aparajita" w:cs="Aparajita"/>
                <w:b/>
                <w:color w:val="FFFFFF" w:themeColor="background1"/>
                <w:sz w:val="28"/>
                <w:szCs w:val="28"/>
              </w:rPr>
              <w:t>Flammable Solvents</w:t>
            </w:r>
          </w:p>
        </w:tc>
      </w:tr>
      <w:tr w:rsidR="007B32E3" w14:paraId="0B11837D" w14:textId="77777777" w:rsidTr="6647E6A1">
        <w:trPr>
          <w:trHeight w:val="420"/>
          <w:jc w:val="center"/>
        </w:trPr>
        <w:tc>
          <w:tcPr>
            <w:tcW w:w="10425" w:type="dxa"/>
            <w:gridSpan w:val="2"/>
            <w:shd w:val="clear" w:color="auto" w:fill="FFFFFF" w:themeFill="background1"/>
            <w:vAlign w:val="center"/>
          </w:tcPr>
          <w:p w14:paraId="15D442C0" w14:textId="77777777" w:rsidR="007B32E3" w:rsidRDefault="00AC2282">
            <w:pPr>
              <w:pStyle w:val="Normal1"/>
              <w:widowControl w:val="0"/>
              <w:spacing w:after="0" w:line="240" w:lineRule="auto"/>
            </w:pPr>
            <w:r>
              <w:rPr>
                <w:b/>
              </w:rPr>
              <w:t>Principal Investigator (PI):</w:t>
            </w:r>
            <w:r>
              <w:t xml:space="preserve"> Christian Brueckner</w:t>
            </w:r>
          </w:p>
        </w:tc>
      </w:tr>
      <w:tr w:rsidR="007B32E3" w14:paraId="2C07C7BC" w14:textId="77777777" w:rsidTr="6647E6A1">
        <w:trPr>
          <w:trHeight w:val="420"/>
          <w:jc w:val="center"/>
        </w:trPr>
        <w:tc>
          <w:tcPr>
            <w:tcW w:w="5190" w:type="dxa"/>
            <w:shd w:val="clear" w:color="auto" w:fill="FFFFFF" w:themeFill="background1"/>
            <w:vAlign w:val="center"/>
          </w:tcPr>
          <w:p w14:paraId="39EE0DAE" w14:textId="77777777" w:rsidR="007B32E3" w:rsidRDefault="00AC2282">
            <w:pPr>
              <w:pStyle w:val="Normal1"/>
              <w:widowControl w:val="0"/>
              <w:spacing w:after="0" w:line="240" w:lineRule="auto"/>
            </w:pPr>
            <w:r>
              <w:rPr>
                <w:b/>
              </w:rPr>
              <w:t>Building:</w:t>
            </w:r>
            <w:r>
              <w:t xml:space="preserve"> Chemistry</w:t>
            </w:r>
          </w:p>
        </w:tc>
        <w:tc>
          <w:tcPr>
            <w:tcW w:w="5235" w:type="dxa"/>
            <w:shd w:val="clear" w:color="auto" w:fill="FFFFFF" w:themeFill="background1"/>
            <w:vAlign w:val="center"/>
          </w:tcPr>
          <w:p w14:paraId="7C8F99AF" w14:textId="77777777" w:rsidR="007B32E3" w:rsidRDefault="00AC2282">
            <w:pPr>
              <w:pStyle w:val="Normal1"/>
              <w:widowControl w:val="0"/>
              <w:spacing w:after="0" w:line="240" w:lineRule="auto"/>
            </w:pPr>
            <w:r>
              <w:rPr>
                <w:b/>
              </w:rPr>
              <w:t>Lab(s) Covered by LSOP:</w:t>
            </w:r>
            <w:r>
              <w:t xml:space="preserve"> R413/R415</w:t>
            </w:r>
          </w:p>
        </w:tc>
      </w:tr>
      <w:tr w:rsidR="007B32E3" w14:paraId="4625B451" w14:textId="77777777" w:rsidTr="6647E6A1">
        <w:trPr>
          <w:trHeight w:val="420"/>
          <w:jc w:val="center"/>
        </w:trPr>
        <w:tc>
          <w:tcPr>
            <w:tcW w:w="5190" w:type="dxa"/>
            <w:shd w:val="clear" w:color="auto" w:fill="FFFFFF" w:themeFill="background1"/>
            <w:vAlign w:val="center"/>
          </w:tcPr>
          <w:p w14:paraId="41864632" w14:textId="77777777" w:rsidR="007B32E3" w:rsidRDefault="00AC2282">
            <w:pPr>
              <w:pStyle w:val="Normal1"/>
              <w:widowControl w:val="0"/>
              <w:spacing w:after="0" w:line="240" w:lineRule="auto"/>
            </w:pPr>
            <w:r>
              <w:rPr>
                <w:b/>
              </w:rPr>
              <w:t>Department:</w:t>
            </w:r>
            <w:r>
              <w:t xml:space="preserve"> Chemistry</w:t>
            </w:r>
          </w:p>
        </w:tc>
        <w:tc>
          <w:tcPr>
            <w:tcW w:w="5235" w:type="dxa"/>
            <w:shd w:val="clear" w:color="auto" w:fill="FFFFFF" w:themeFill="background1"/>
            <w:vAlign w:val="center"/>
          </w:tcPr>
          <w:p w14:paraId="573FD044" w14:textId="77777777" w:rsidR="007B32E3" w:rsidRDefault="00AC2282">
            <w:pPr>
              <w:pStyle w:val="Normal1"/>
              <w:widowControl w:val="0"/>
              <w:spacing w:after="0" w:line="240" w:lineRule="auto"/>
            </w:pPr>
            <w:r>
              <w:rPr>
                <w:b/>
              </w:rPr>
              <w:t>Lab Phone Number(s):</w:t>
            </w:r>
            <w:r>
              <w:t xml:space="preserve"> 6-6596/6-6598</w:t>
            </w:r>
          </w:p>
        </w:tc>
      </w:tr>
      <w:tr w:rsidR="007B32E3" w14:paraId="5FC6CD66" w14:textId="77777777" w:rsidTr="6647E6A1">
        <w:trPr>
          <w:trHeight w:val="420"/>
          <w:jc w:val="center"/>
        </w:trPr>
        <w:tc>
          <w:tcPr>
            <w:tcW w:w="10425" w:type="dxa"/>
            <w:gridSpan w:val="2"/>
            <w:shd w:val="clear" w:color="auto" w:fill="000E2F"/>
            <w:vAlign w:val="center"/>
          </w:tcPr>
          <w:p w14:paraId="2F836BAE" w14:textId="77777777" w:rsidR="007B32E3" w:rsidRDefault="00AC2282">
            <w:pPr>
              <w:pStyle w:val="Heading1"/>
              <w:spacing w:before="80" w:after="80"/>
              <w:rPr>
                <w:b/>
                <w:sz w:val="24"/>
                <w:szCs w:val="24"/>
              </w:rPr>
            </w:pPr>
            <w:r>
              <w:rPr>
                <w:b/>
                <w:color w:val="FFFFFF"/>
                <w:sz w:val="24"/>
                <w:szCs w:val="24"/>
              </w:rPr>
              <w:t>SECTION 1 – HAZARDOUS CHEMICAL(S) or PROCESS(ES) and HAZARDS INVOLVED</w:t>
            </w:r>
          </w:p>
        </w:tc>
      </w:tr>
      <w:tr w:rsidR="007B32E3" w14:paraId="5EBA8203" w14:textId="77777777" w:rsidTr="6647E6A1">
        <w:trPr>
          <w:trHeight w:val="420"/>
          <w:jc w:val="center"/>
        </w:trPr>
        <w:tc>
          <w:tcPr>
            <w:tcW w:w="10425" w:type="dxa"/>
            <w:gridSpan w:val="2"/>
            <w:shd w:val="clear" w:color="auto" w:fill="FFFFFF" w:themeFill="background1"/>
            <w:vAlign w:val="center"/>
          </w:tcPr>
          <w:p w14:paraId="68C29E11" w14:textId="6543388F" w:rsidR="007B32E3" w:rsidRDefault="6647E6A1" w:rsidP="007F7A9D">
            <w:pPr>
              <w:pStyle w:val="Normal1"/>
              <w:widowControl w:val="0"/>
              <w:spacing w:before="80" w:after="80" w:line="240" w:lineRule="auto"/>
              <w:contextualSpacing/>
            </w:pPr>
            <w:r>
              <w:t xml:space="preserve">Methanol, Ethanol, </w:t>
            </w:r>
            <w:proofErr w:type="spellStart"/>
            <w:r w:rsidRPr="00547A18">
              <w:rPr>
                <w:i/>
                <w:iCs/>
              </w:rPr>
              <w:t>i</w:t>
            </w:r>
            <w:proofErr w:type="spellEnd"/>
            <w:r w:rsidR="00547A18">
              <w:t>-</w:t>
            </w:r>
            <w:r>
              <w:t>Propanol, Butanol</w:t>
            </w:r>
          </w:p>
          <w:p w14:paraId="1FAA4E90" w14:textId="5E37C134" w:rsidR="00547A18" w:rsidRDefault="6647E6A1" w:rsidP="007F7A9D">
            <w:pPr>
              <w:pStyle w:val="Normal1"/>
              <w:numPr>
                <w:ilvl w:val="1"/>
                <w:numId w:val="19"/>
              </w:numPr>
              <w:spacing w:before="80" w:after="80" w:line="240" w:lineRule="auto"/>
              <w:ind w:left="720"/>
              <w:contextualSpacing/>
            </w:pPr>
            <w:r>
              <w:t>Flammable</w:t>
            </w:r>
            <w:r w:rsidR="00327ECB">
              <w:t>.</w:t>
            </w:r>
          </w:p>
          <w:p w14:paraId="0D36CE1E" w14:textId="0DBB1C42" w:rsidR="007B32E3" w:rsidRDefault="00AC2282" w:rsidP="007F7A9D">
            <w:pPr>
              <w:pStyle w:val="Normal1"/>
              <w:numPr>
                <w:ilvl w:val="1"/>
                <w:numId w:val="19"/>
              </w:numPr>
              <w:spacing w:before="80" w:after="80" w:line="240" w:lineRule="auto"/>
              <w:ind w:left="720"/>
              <w:contextualSpacing/>
            </w:pPr>
            <w:r>
              <w:t>Skin, eye, and respiratory irritant</w:t>
            </w:r>
            <w:r w:rsidR="00327ECB">
              <w:t>.</w:t>
            </w:r>
          </w:p>
          <w:p w14:paraId="0A8E0382" w14:textId="47366B31" w:rsidR="007B32E3" w:rsidRDefault="00AC2282" w:rsidP="007F7A9D">
            <w:pPr>
              <w:pStyle w:val="Normal1"/>
              <w:widowControl w:val="0"/>
              <w:numPr>
                <w:ilvl w:val="1"/>
                <w:numId w:val="19"/>
              </w:numPr>
              <w:spacing w:before="80" w:after="80" w:line="240" w:lineRule="auto"/>
              <w:ind w:left="720"/>
              <w:contextualSpacing/>
            </w:pPr>
            <w:r>
              <w:t>Skin sensitizer</w:t>
            </w:r>
            <w:r w:rsidR="00327ECB">
              <w:t>.</w:t>
            </w:r>
          </w:p>
          <w:p w14:paraId="052944F5" w14:textId="579D4394" w:rsidR="007B32E3" w:rsidRDefault="00AC2282" w:rsidP="007F7A9D">
            <w:pPr>
              <w:pStyle w:val="Normal1"/>
              <w:widowControl w:val="0"/>
              <w:numPr>
                <w:ilvl w:val="1"/>
                <w:numId w:val="19"/>
              </w:numPr>
              <w:spacing w:before="80" w:after="80" w:line="240" w:lineRule="auto"/>
              <w:ind w:left="720"/>
              <w:contextualSpacing/>
            </w:pPr>
            <w:r>
              <w:t>Mutagenic to mammalian somatic cells</w:t>
            </w:r>
            <w:r w:rsidR="00327ECB">
              <w:t>.</w:t>
            </w:r>
          </w:p>
          <w:p w14:paraId="1B471D5C" w14:textId="63FC0D76" w:rsidR="007B32E3" w:rsidRDefault="00AC2282" w:rsidP="007F7A9D">
            <w:pPr>
              <w:pStyle w:val="Normal1"/>
              <w:widowControl w:val="0"/>
              <w:numPr>
                <w:ilvl w:val="1"/>
                <w:numId w:val="19"/>
              </w:numPr>
              <w:spacing w:before="80" w:after="80" w:line="240" w:lineRule="auto"/>
              <w:ind w:left="720"/>
              <w:contextualSpacing/>
            </w:pPr>
            <w:r>
              <w:t>May be toxic to blood, kidneys, liver, brain, and nervous systems</w:t>
            </w:r>
            <w:r w:rsidR="00327ECB">
              <w:t>.</w:t>
            </w:r>
          </w:p>
          <w:p w14:paraId="123E084C" w14:textId="202FC743" w:rsidR="007B32E3" w:rsidRDefault="00AC2282" w:rsidP="007F7A9D">
            <w:pPr>
              <w:pStyle w:val="Normal1"/>
              <w:widowControl w:val="0"/>
              <w:numPr>
                <w:ilvl w:val="1"/>
                <w:numId w:val="19"/>
              </w:numPr>
              <w:spacing w:before="80" w:after="80" w:line="240" w:lineRule="auto"/>
              <w:ind w:left="720"/>
              <w:contextualSpacing/>
            </w:pPr>
            <w:r>
              <w:t>Repeated or prolonged exposure to the substance can produce target organs damage</w:t>
            </w:r>
            <w:r w:rsidR="00327ECB">
              <w:t>.</w:t>
            </w:r>
          </w:p>
          <w:p w14:paraId="256E7EFC" w14:textId="28A48B64" w:rsidR="6647E6A1" w:rsidRDefault="6647E6A1" w:rsidP="007F7A9D">
            <w:pPr>
              <w:pStyle w:val="Normal1"/>
              <w:spacing w:before="80" w:after="80" w:line="240" w:lineRule="auto"/>
              <w:contextualSpacing/>
            </w:pPr>
            <w:r>
              <w:t>Acetone</w:t>
            </w:r>
          </w:p>
          <w:p w14:paraId="1931A1B6" w14:textId="05928C7D" w:rsidR="6647E6A1" w:rsidRDefault="6647E6A1" w:rsidP="007F7A9D">
            <w:pPr>
              <w:pStyle w:val="Normal1"/>
              <w:numPr>
                <w:ilvl w:val="1"/>
                <w:numId w:val="20"/>
              </w:numPr>
              <w:spacing w:before="80" w:after="80" w:line="240" w:lineRule="auto"/>
              <w:ind w:left="720"/>
              <w:contextualSpacing/>
              <w:rPr>
                <w:color w:val="000000" w:themeColor="text1"/>
              </w:rPr>
            </w:pPr>
            <w:r>
              <w:t>Flammable</w:t>
            </w:r>
          </w:p>
          <w:p w14:paraId="60A9618E" w14:textId="6A718608" w:rsidR="6647E6A1" w:rsidRDefault="6647E6A1" w:rsidP="007F7A9D">
            <w:pPr>
              <w:pStyle w:val="Normal1"/>
              <w:numPr>
                <w:ilvl w:val="1"/>
                <w:numId w:val="20"/>
              </w:numPr>
              <w:spacing w:before="80" w:after="80" w:line="240" w:lineRule="auto"/>
              <w:ind w:left="720"/>
              <w:contextualSpacing/>
              <w:rPr>
                <w:color w:val="000000" w:themeColor="text1"/>
              </w:rPr>
            </w:pPr>
            <w:r>
              <w:t>Skin, eye, and respiratory irritant</w:t>
            </w:r>
            <w:r w:rsidR="00327ECB">
              <w:t>.</w:t>
            </w:r>
          </w:p>
          <w:p w14:paraId="257046FA" w14:textId="0747D98C" w:rsidR="6647E6A1" w:rsidRDefault="6647E6A1" w:rsidP="007F7A9D">
            <w:pPr>
              <w:pStyle w:val="Normal1"/>
              <w:numPr>
                <w:ilvl w:val="1"/>
                <w:numId w:val="20"/>
              </w:numPr>
              <w:spacing w:before="80" w:after="80" w:line="240" w:lineRule="auto"/>
              <w:ind w:left="720"/>
              <w:contextualSpacing/>
              <w:rPr>
                <w:color w:val="000000" w:themeColor="text1"/>
              </w:rPr>
            </w:pPr>
            <w:r w:rsidRPr="6647E6A1">
              <w:t>The substance is toxic to central nervous system (CNS)</w:t>
            </w:r>
            <w:r w:rsidR="00327ECB">
              <w:t>.</w:t>
            </w:r>
          </w:p>
          <w:p w14:paraId="34A47EE0" w14:textId="072A92A1" w:rsidR="6647E6A1" w:rsidRDefault="6647E6A1" w:rsidP="007F7A9D">
            <w:pPr>
              <w:pStyle w:val="Normal1"/>
              <w:numPr>
                <w:ilvl w:val="1"/>
                <w:numId w:val="20"/>
              </w:numPr>
              <w:spacing w:before="80" w:after="80" w:line="240" w:lineRule="auto"/>
              <w:ind w:left="720"/>
              <w:contextualSpacing/>
              <w:rPr>
                <w:color w:val="000000" w:themeColor="text1"/>
              </w:rPr>
            </w:pPr>
            <w:r w:rsidRPr="6647E6A1">
              <w:t>The substance may be toxic to kidneys, the reproductive system, liver, skin</w:t>
            </w:r>
            <w:r w:rsidR="00327ECB">
              <w:t>.</w:t>
            </w:r>
          </w:p>
          <w:p w14:paraId="290456AE" w14:textId="12D16C0B" w:rsidR="6647E6A1" w:rsidRDefault="6647E6A1" w:rsidP="007F7A9D">
            <w:pPr>
              <w:pStyle w:val="Normal1"/>
              <w:numPr>
                <w:ilvl w:val="1"/>
                <w:numId w:val="20"/>
              </w:numPr>
              <w:spacing w:before="80" w:after="80" w:line="240" w:lineRule="auto"/>
              <w:ind w:left="720"/>
              <w:contextualSpacing/>
              <w:rPr>
                <w:color w:val="000000" w:themeColor="text1"/>
              </w:rPr>
            </w:pPr>
            <w:r w:rsidRPr="6647E6A1">
              <w:t>Repeated or prolonged exposure to the substance can produce target organs damage</w:t>
            </w:r>
            <w:r w:rsidR="00327ECB">
              <w:t>.</w:t>
            </w:r>
          </w:p>
          <w:p w14:paraId="204938F7" w14:textId="77777777" w:rsidR="00AC2282" w:rsidRDefault="6647E6A1" w:rsidP="007F7A9D">
            <w:pPr>
              <w:pStyle w:val="Normal1"/>
              <w:widowControl w:val="0"/>
              <w:spacing w:before="80" w:after="80" w:line="240" w:lineRule="auto"/>
              <w:contextualSpacing/>
            </w:pPr>
            <w:r>
              <w:t>Toluene</w:t>
            </w:r>
          </w:p>
          <w:p w14:paraId="53E44899" w14:textId="76A0D327" w:rsidR="6647E6A1" w:rsidRDefault="6647E6A1" w:rsidP="007F7A9D">
            <w:pPr>
              <w:pStyle w:val="Normal1"/>
              <w:numPr>
                <w:ilvl w:val="1"/>
                <w:numId w:val="21"/>
              </w:numPr>
              <w:spacing w:before="80" w:after="80" w:line="240" w:lineRule="auto"/>
              <w:ind w:left="720"/>
              <w:contextualSpacing/>
              <w:rPr>
                <w:color w:val="000000" w:themeColor="text1"/>
              </w:rPr>
            </w:pPr>
            <w:r>
              <w:t>Flammable</w:t>
            </w:r>
            <w:r w:rsidR="00327ECB">
              <w:t>.</w:t>
            </w:r>
          </w:p>
          <w:p w14:paraId="07C7DDEF" w14:textId="4EA04C6D" w:rsidR="6647E6A1" w:rsidRDefault="6647E6A1" w:rsidP="007F7A9D">
            <w:pPr>
              <w:pStyle w:val="Normal1"/>
              <w:numPr>
                <w:ilvl w:val="1"/>
                <w:numId w:val="21"/>
              </w:numPr>
              <w:spacing w:before="80" w:after="80" w:line="240" w:lineRule="auto"/>
              <w:ind w:left="720"/>
              <w:contextualSpacing/>
              <w:rPr>
                <w:color w:val="000000" w:themeColor="text1"/>
              </w:rPr>
            </w:pPr>
            <w:r>
              <w:t>Hazardous in case of skin contact (irritant, permeator), eye contact (irritant), ingestion, inhalation</w:t>
            </w:r>
            <w:r w:rsidR="00327ECB">
              <w:t>.</w:t>
            </w:r>
          </w:p>
          <w:p w14:paraId="7872C62E" w14:textId="1C99AD76" w:rsidR="6647E6A1" w:rsidRDefault="6647E6A1" w:rsidP="007F7A9D">
            <w:pPr>
              <w:pStyle w:val="Normal1"/>
              <w:numPr>
                <w:ilvl w:val="1"/>
                <w:numId w:val="21"/>
              </w:numPr>
              <w:spacing w:before="80" w:after="80" w:line="240" w:lineRule="auto"/>
              <w:ind w:left="720"/>
              <w:contextualSpacing/>
              <w:rPr>
                <w:color w:val="000000" w:themeColor="text1"/>
              </w:rPr>
            </w:pPr>
            <w:r w:rsidRPr="6647E6A1">
              <w:t>The substance may be toxic to blood, kidneys, the nervous system, liver, brain, and CNS</w:t>
            </w:r>
            <w:r w:rsidR="00327ECB">
              <w:t>.</w:t>
            </w:r>
          </w:p>
          <w:p w14:paraId="0120B709" w14:textId="108A16CF" w:rsidR="6647E6A1" w:rsidRDefault="6647E6A1" w:rsidP="007F7A9D">
            <w:pPr>
              <w:pStyle w:val="Normal1"/>
              <w:numPr>
                <w:ilvl w:val="1"/>
                <w:numId w:val="21"/>
              </w:numPr>
              <w:spacing w:before="80" w:after="80" w:line="240" w:lineRule="auto"/>
              <w:ind w:left="720"/>
              <w:contextualSpacing/>
              <w:rPr>
                <w:color w:val="000000" w:themeColor="text1"/>
              </w:rPr>
            </w:pPr>
            <w:r w:rsidRPr="6647E6A1">
              <w:t>Repeated or prolonged exposure to the substance can produce target organs damage</w:t>
            </w:r>
            <w:r w:rsidR="00327ECB">
              <w:t>.</w:t>
            </w:r>
          </w:p>
          <w:p w14:paraId="341B0FA8" w14:textId="79A3F314" w:rsidR="00AC2282" w:rsidRDefault="6647E6A1" w:rsidP="007F7A9D">
            <w:pPr>
              <w:pStyle w:val="Normal1"/>
              <w:widowControl w:val="0"/>
              <w:spacing w:before="80" w:after="80" w:line="240" w:lineRule="auto"/>
              <w:contextualSpacing/>
            </w:pPr>
            <w:proofErr w:type="spellStart"/>
            <w:r>
              <w:t>Dimethylsulfoxide</w:t>
            </w:r>
            <w:proofErr w:type="spellEnd"/>
            <w:r w:rsidR="00547A18">
              <w:t xml:space="preserve"> (DMSO)</w:t>
            </w:r>
          </w:p>
          <w:p w14:paraId="4E87E5DC" w14:textId="4C486651" w:rsidR="6647E6A1" w:rsidRDefault="6647E6A1" w:rsidP="007F7A9D">
            <w:pPr>
              <w:pStyle w:val="Normal1"/>
              <w:numPr>
                <w:ilvl w:val="1"/>
                <w:numId w:val="24"/>
              </w:numPr>
              <w:spacing w:before="80" w:after="80" w:line="240" w:lineRule="auto"/>
              <w:ind w:left="720"/>
              <w:contextualSpacing/>
              <w:rPr>
                <w:color w:val="000000" w:themeColor="text1"/>
              </w:rPr>
            </w:pPr>
            <w:r>
              <w:t>Flammable</w:t>
            </w:r>
            <w:r w:rsidR="00327ECB">
              <w:t>.</w:t>
            </w:r>
          </w:p>
          <w:p w14:paraId="283728AF" w14:textId="2B934846" w:rsidR="6647E6A1" w:rsidRDefault="6647E6A1" w:rsidP="007F7A9D">
            <w:pPr>
              <w:pStyle w:val="Normal1"/>
              <w:numPr>
                <w:ilvl w:val="1"/>
                <w:numId w:val="24"/>
              </w:numPr>
              <w:spacing w:before="80" w:after="80" w:line="240" w:lineRule="auto"/>
              <w:ind w:left="720"/>
              <w:contextualSpacing/>
              <w:rPr>
                <w:color w:val="000000" w:themeColor="text1"/>
              </w:rPr>
            </w:pPr>
            <w:r w:rsidRPr="6647E6A1">
              <w:t>Slightly hazardous in case of inhalation (lung irritant), skin contact (irritant, permeator), of eye contact (irritant), of ingestion</w:t>
            </w:r>
            <w:r w:rsidR="00327ECB">
              <w:t>.</w:t>
            </w:r>
          </w:p>
          <w:p w14:paraId="7845D79E" w14:textId="25D9B220" w:rsidR="6647E6A1" w:rsidRDefault="6647E6A1" w:rsidP="007F7A9D">
            <w:pPr>
              <w:pStyle w:val="Normal1"/>
              <w:numPr>
                <w:ilvl w:val="1"/>
                <w:numId w:val="24"/>
              </w:numPr>
              <w:spacing w:before="80" w:after="80" w:line="240" w:lineRule="auto"/>
              <w:ind w:left="720"/>
              <w:contextualSpacing/>
              <w:rPr>
                <w:color w:val="000000" w:themeColor="text1"/>
              </w:rPr>
            </w:pPr>
            <w:r w:rsidRPr="6647E6A1">
              <w:t>The substance may be toxic to blood, kidneys, liver, mucous membranes, skin, eyes</w:t>
            </w:r>
            <w:r w:rsidR="00327ECB">
              <w:t>.</w:t>
            </w:r>
          </w:p>
          <w:p w14:paraId="0861B78A" w14:textId="390C3F00" w:rsidR="6647E6A1" w:rsidRDefault="6647E6A1" w:rsidP="007F7A9D">
            <w:pPr>
              <w:pStyle w:val="Normal1"/>
              <w:numPr>
                <w:ilvl w:val="1"/>
                <w:numId w:val="24"/>
              </w:numPr>
              <w:spacing w:before="80" w:after="80" w:line="240" w:lineRule="auto"/>
              <w:ind w:left="720"/>
              <w:contextualSpacing/>
              <w:rPr>
                <w:color w:val="000000" w:themeColor="text1"/>
              </w:rPr>
            </w:pPr>
            <w:r w:rsidRPr="6647E6A1">
              <w:t>Repeated or prolonged exposure to the substance can produce target organs damage</w:t>
            </w:r>
            <w:r w:rsidR="00327ECB">
              <w:t>.</w:t>
            </w:r>
          </w:p>
          <w:p w14:paraId="0D347527" w14:textId="5FC3FEF5" w:rsidR="00AC2282" w:rsidRDefault="6647E6A1" w:rsidP="007F7A9D">
            <w:pPr>
              <w:pStyle w:val="Normal1"/>
              <w:widowControl w:val="0"/>
              <w:spacing w:before="80" w:after="80" w:line="240" w:lineRule="auto"/>
              <w:contextualSpacing/>
            </w:pPr>
            <w:r>
              <w:t>Tetrahydrofuran</w:t>
            </w:r>
            <w:r w:rsidR="00547A18">
              <w:t xml:space="preserve"> (THF)</w:t>
            </w:r>
          </w:p>
          <w:p w14:paraId="55564CB2" w14:textId="38373580" w:rsidR="6647E6A1" w:rsidRDefault="6647E6A1" w:rsidP="007F7A9D">
            <w:pPr>
              <w:pStyle w:val="Normal1"/>
              <w:numPr>
                <w:ilvl w:val="1"/>
                <w:numId w:val="25"/>
              </w:numPr>
              <w:spacing w:before="80" w:after="80" w:line="240" w:lineRule="auto"/>
              <w:ind w:left="720"/>
              <w:contextualSpacing/>
              <w:rPr>
                <w:color w:val="000000" w:themeColor="text1"/>
              </w:rPr>
            </w:pPr>
            <w:r>
              <w:t>Flammable</w:t>
            </w:r>
            <w:r w:rsidR="00327ECB">
              <w:t>.</w:t>
            </w:r>
          </w:p>
          <w:p w14:paraId="23943C6E" w14:textId="2FB5CA93" w:rsidR="6647E6A1" w:rsidRDefault="6647E6A1" w:rsidP="007F7A9D">
            <w:pPr>
              <w:pStyle w:val="Normal1"/>
              <w:numPr>
                <w:ilvl w:val="1"/>
                <w:numId w:val="25"/>
              </w:numPr>
              <w:spacing w:before="80" w:after="80" w:line="240" w:lineRule="auto"/>
              <w:ind w:left="720"/>
              <w:contextualSpacing/>
              <w:rPr>
                <w:color w:val="000000" w:themeColor="text1"/>
              </w:rPr>
            </w:pPr>
            <w:r w:rsidRPr="6647E6A1">
              <w:t>Hazardous in case of skin contact (irritant), of eye contact (irritant)</w:t>
            </w:r>
            <w:r w:rsidR="00416441">
              <w:t>.</w:t>
            </w:r>
          </w:p>
          <w:p w14:paraId="189CA37C" w14:textId="5939A165" w:rsidR="6647E6A1" w:rsidRDefault="6647E6A1" w:rsidP="007F7A9D">
            <w:pPr>
              <w:pStyle w:val="Normal1"/>
              <w:numPr>
                <w:ilvl w:val="1"/>
                <w:numId w:val="25"/>
              </w:numPr>
              <w:spacing w:before="80" w:after="80" w:line="240" w:lineRule="auto"/>
              <w:ind w:left="720"/>
              <w:contextualSpacing/>
              <w:rPr>
                <w:color w:val="000000" w:themeColor="text1"/>
              </w:rPr>
            </w:pPr>
            <w:r w:rsidRPr="6647E6A1">
              <w:t>Slightly hazardous in case of skin contact (permeator), of ingestion, of inhalation</w:t>
            </w:r>
            <w:r w:rsidR="00327ECB">
              <w:t>.</w:t>
            </w:r>
          </w:p>
          <w:p w14:paraId="79756BBF" w14:textId="7D18EC92" w:rsidR="6647E6A1" w:rsidRDefault="6647E6A1" w:rsidP="007F7A9D">
            <w:pPr>
              <w:pStyle w:val="Normal1"/>
              <w:numPr>
                <w:ilvl w:val="1"/>
                <w:numId w:val="25"/>
              </w:numPr>
              <w:spacing w:before="80" w:after="80" w:line="240" w:lineRule="auto"/>
              <w:ind w:left="720"/>
              <w:contextualSpacing/>
              <w:rPr>
                <w:color w:val="000000" w:themeColor="text1"/>
              </w:rPr>
            </w:pPr>
            <w:r w:rsidRPr="6647E6A1">
              <w:t>The substance may be toxic to blood, kidneys, lungs, liver, upper respiratory tract, skin, eyes, and CNS</w:t>
            </w:r>
            <w:r w:rsidR="00547A18">
              <w:t>.</w:t>
            </w:r>
          </w:p>
          <w:p w14:paraId="77AD6A17" w14:textId="4FFF526C" w:rsidR="6647E6A1" w:rsidRDefault="6647E6A1" w:rsidP="007F7A9D">
            <w:pPr>
              <w:pStyle w:val="Normal1"/>
              <w:numPr>
                <w:ilvl w:val="1"/>
                <w:numId w:val="25"/>
              </w:numPr>
              <w:spacing w:before="80" w:after="80" w:line="240" w:lineRule="auto"/>
              <w:ind w:left="720"/>
              <w:contextualSpacing/>
              <w:rPr>
                <w:color w:val="000000" w:themeColor="text1"/>
              </w:rPr>
            </w:pPr>
            <w:r w:rsidRPr="6647E6A1">
              <w:t>Repeated or prolonged exposure to the substance can produce target organs damage.</w:t>
            </w:r>
          </w:p>
          <w:p w14:paraId="307F19D5" w14:textId="77777777" w:rsidR="00AC2282" w:rsidRDefault="6647E6A1" w:rsidP="007F7A9D">
            <w:pPr>
              <w:pStyle w:val="Normal1"/>
              <w:widowControl w:val="0"/>
              <w:spacing w:before="80" w:after="80" w:line="240" w:lineRule="auto"/>
              <w:contextualSpacing/>
            </w:pPr>
            <w:r>
              <w:t>Diethyl ether</w:t>
            </w:r>
          </w:p>
          <w:p w14:paraId="14201F24" w14:textId="1BFBCEB2" w:rsidR="6647E6A1" w:rsidRDefault="6647E6A1" w:rsidP="007F7A9D">
            <w:pPr>
              <w:pStyle w:val="Normal1"/>
              <w:numPr>
                <w:ilvl w:val="1"/>
                <w:numId w:val="26"/>
              </w:numPr>
              <w:spacing w:before="80" w:after="80" w:line="240" w:lineRule="auto"/>
              <w:ind w:left="720"/>
              <w:contextualSpacing/>
              <w:rPr>
                <w:color w:val="000000" w:themeColor="text1"/>
              </w:rPr>
            </w:pPr>
            <w:r>
              <w:t>Flammable</w:t>
            </w:r>
            <w:r w:rsidR="00327ECB">
              <w:t>.</w:t>
            </w:r>
          </w:p>
          <w:p w14:paraId="6DBD5824" w14:textId="26353E3C" w:rsidR="6647E6A1" w:rsidRDefault="6647E6A1" w:rsidP="007F7A9D">
            <w:pPr>
              <w:pStyle w:val="Normal1"/>
              <w:numPr>
                <w:ilvl w:val="1"/>
                <w:numId w:val="26"/>
              </w:numPr>
              <w:spacing w:before="80" w:after="80" w:line="240" w:lineRule="auto"/>
              <w:ind w:left="720"/>
              <w:contextualSpacing/>
              <w:rPr>
                <w:color w:val="000000" w:themeColor="text1"/>
              </w:rPr>
            </w:pPr>
            <w:r w:rsidRPr="6647E6A1">
              <w:t>Hazardous in case of skin contact (irritant), of eye contact (irritant), of ingestion, of inhalation</w:t>
            </w:r>
            <w:r w:rsidR="00327ECB">
              <w:t>.</w:t>
            </w:r>
          </w:p>
          <w:p w14:paraId="730D3A95" w14:textId="63A146C8" w:rsidR="6647E6A1" w:rsidRDefault="6647E6A1" w:rsidP="007F7A9D">
            <w:pPr>
              <w:pStyle w:val="Normal1"/>
              <w:numPr>
                <w:ilvl w:val="1"/>
                <w:numId w:val="26"/>
              </w:numPr>
              <w:spacing w:before="80" w:after="80" w:line="240" w:lineRule="auto"/>
              <w:ind w:left="720"/>
              <w:contextualSpacing/>
              <w:rPr>
                <w:color w:val="000000" w:themeColor="text1"/>
              </w:rPr>
            </w:pPr>
            <w:r w:rsidRPr="6647E6A1">
              <w:t>Slightly hazardous in case of skin contact (permeator)</w:t>
            </w:r>
            <w:r w:rsidR="00327ECB">
              <w:t>.</w:t>
            </w:r>
          </w:p>
          <w:p w14:paraId="7A9A40F1" w14:textId="6077A271" w:rsidR="6647E6A1" w:rsidRDefault="6647E6A1" w:rsidP="007F7A9D">
            <w:pPr>
              <w:pStyle w:val="Normal1"/>
              <w:numPr>
                <w:ilvl w:val="1"/>
                <w:numId w:val="26"/>
              </w:numPr>
              <w:spacing w:before="80" w:after="80" w:line="240" w:lineRule="auto"/>
              <w:ind w:left="720"/>
              <w:contextualSpacing/>
              <w:rPr>
                <w:color w:val="000000" w:themeColor="text1"/>
              </w:rPr>
            </w:pPr>
            <w:r w:rsidRPr="6647E6A1">
              <w:t>The substance may be toxic to skin, and CNS</w:t>
            </w:r>
            <w:r w:rsidR="00327ECB">
              <w:t>.</w:t>
            </w:r>
            <w:r>
              <w:br/>
            </w:r>
            <w:r w:rsidRPr="6647E6A1">
              <w:t>Repeated or prolonged exposure to the substance can produce target organs damage</w:t>
            </w:r>
            <w:r w:rsidR="00327ECB">
              <w:t>.</w:t>
            </w:r>
          </w:p>
          <w:p w14:paraId="170ED0DB" w14:textId="77777777" w:rsidR="007B32E3" w:rsidRDefault="6647E6A1" w:rsidP="007F7A9D">
            <w:pPr>
              <w:pStyle w:val="Normal1"/>
              <w:widowControl w:val="0"/>
              <w:spacing w:before="80" w:after="80" w:line="240" w:lineRule="auto"/>
              <w:contextualSpacing/>
            </w:pPr>
            <w:r>
              <w:t>Ethyl Acetate</w:t>
            </w:r>
          </w:p>
          <w:p w14:paraId="11D95474" w14:textId="4BFDBE3A" w:rsidR="6647E6A1" w:rsidRDefault="6647E6A1" w:rsidP="007F7A9D">
            <w:pPr>
              <w:pStyle w:val="Normal1"/>
              <w:numPr>
                <w:ilvl w:val="1"/>
                <w:numId w:val="27"/>
              </w:numPr>
              <w:spacing w:before="80" w:after="80" w:line="240" w:lineRule="auto"/>
              <w:ind w:left="720"/>
              <w:contextualSpacing/>
            </w:pPr>
            <w:r>
              <w:t>Flammable</w:t>
            </w:r>
            <w:r w:rsidR="00327ECB">
              <w:t>.</w:t>
            </w:r>
          </w:p>
          <w:p w14:paraId="2E6F182F" w14:textId="689FAE0D" w:rsidR="007B32E3" w:rsidRDefault="6647E6A1" w:rsidP="007F7A9D">
            <w:pPr>
              <w:pStyle w:val="Normal1"/>
              <w:widowControl w:val="0"/>
              <w:numPr>
                <w:ilvl w:val="1"/>
                <w:numId w:val="27"/>
              </w:numPr>
              <w:spacing w:before="80" w:after="80" w:line="240" w:lineRule="auto"/>
              <w:ind w:left="720"/>
              <w:contextualSpacing/>
            </w:pPr>
            <w:r>
              <w:lastRenderedPageBreak/>
              <w:t>Hazardous in case of ingestion, of inhalation</w:t>
            </w:r>
            <w:r w:rsidR="00327ECB">
              <w:t>.</w:t>
            </w:r>
          </w:p>
          <w:p w14:paraId="76FF8682" w14:textId="50E5233B" w:rsidR="007B32E3" w:rsidRDefault="00AC2282" w:rsidP="007F7A9D">
            <w:pPr>
              <w:pStyle w:val="Normal1"/>
              <w:widowControl w:val="0"/>
              <w:numPr>
                <w:ilvl w:val="1"/>
                <w:numId w:val="27"/>
              </w:numPr>
              <w:spacing w:before="80" w:after="80" w:line="240" w:lineRule="auto"/>
              <w:ind w:left="720"/>
              <w:contextualSpacing/>
            </w:pPr>
            <w:r>
              <w:t>Slightly hazardous in case of skin contact (irritant, permeator), of eye contact (irritant)</w:t>
            </w:r>
            <w:r w:rsidR="00327ECB">
              <w:t>.</w:t>
            </w:r>
          </w:p>
          <w:p w14:paraId="43D81559" w14:textId="0185679A" w:rsidR="007B32E3" w:rsidRDefault="00AC2282" w:rsidP="007F7A9D">
            <w:pPr>
              <w:pStyle w:val="Normal1"/>
              <w:widowControl w:val="0"/>
              <w:numPr>
                <w:ilvl w:val="1"/>
                <w:numId w:val="27"/>
              </w:numPr>
              <w:spacing w:before="80" w:after="80" w:line="240" w:lineRule="auto"/>
              <w:ind w:left="720"/>
              <w:contextualSpacing/>
            </w:pPr>
            <w:r>
              <w:t>The substance is toxic to mucous membranes, upper respiratory tract</w:t>
            </w:r>
            <w:r w:rsidR="00327ECB">
              <w:t>.</w:t>
            </w:r>
          </w:p>
          <w:p w14:paraId="53B7D55E" w14:textId="75E43843" w:rsidR="007B32E3" w:rsidRDefault="6647E6A1" w:rsidP="007F7A9D">
            <w:pPr>
              <w:pStyle w:val="Normal1"/>
              <w:widowControl w:val="0"/>
              <w:numPr>
                <w:ilvl w:val="1"/>
                <w:numId w:val="27"/>
              </w:numPr>
              <w:spacing w:before="80" w:after="80" w:line="240" w:lineRule="auto"/>
              <w:ind w:left="720"/>
              <w:contextualSpacing/>
            </w:pPr>
            <w:r>
              <w:t>The substance may be toxic to blood, kidneys, liver, and CNS</w:t>
            </w:r>
            <w:r w:rsidR="00327ECB">
              <w:t>.</w:t>
            </w:r>
          </w:p>
          <w:p w14:paraId="4E814F6A" w14:textId="4F4F60D2" w:rsidR="007B32E3" w:rsidRDefault="00AC2282" w:rsidP="007F7A9D">
            <w:pPr>
              <w:pStyle w:val="Normal1"/>
              <w:widowControl w:val="0"/>
              <w:numPr>
                <w:ilvl w:val="1"/>
                <w:numId w:val="27"/>
              </w:numPr>
              <w:spacing w:before="80" w:after="80" w:line="240" w:lineRule="auto"/>
              <w:ind w:left="720"/>
              <w:contextualSpacing/>
            </w:pPr>
            <w:r>
              <w:t>Repeated or prolonged exposure to the substance can produce target organs damage</w:t>
            </w:r>
            <w:r w:rsidR="00327ECB">
              <w:t>.</w:t>
            </w:r>
          </w:p>
          <w:p w14:paraId="51D06E4C" w14:textId="77777777" w:rsidR="007B32E3" w:rsidRDefault="6647E6A1" w:rsidP="007F7A9D">
            <w:pPr>
              <w:pStyle w:val="Normal1"/>
              <w:widowControl w:val="0"/>
              <w:spacing w:before="80" w:after="80" w:line="240" w:lineRule="auto"/>
              <w:contextualSpacing/>
            </w:pPr>
            <w:r>
              <w:t>Triethylamine</w:t>
            </w:r>
          </w:p>
          <w:p w14:paraId="6BEC3658" w14:textId="0B237211" w:rsidR="6647E6A1" w:rsidRDefault="6647E6A1" w:rsidP="007F7A9D">
            <w:pPr>
              <w:pStyle w:val="Normal1"/>
              <w:numPr>
                <w:ilvl w:val="1"/>
                <w:numId w:val="28"/>
              </w:numPr>
              <w:spacing w:before="80" w:after="80" w:line="240" w:lineRule="auto"/>
              <w:ind w:left="720"/>
              <w:contextualSpacing/>
            </w:pPr>
            <w:r>
              <w:t>Flammable</w:t>
            </w:r>
          </w:p>
          <w:p w14:paraId="44243CD1" w14:textId="5F9A3113" w:rsidR="007B32E3" w:rsidRDefault="6647E6A1" w:rsidP="007F7A9D">
            <w:pPr>
              <w:pStyle w:val="Normal1"/>
              <w:widowControl w:val="0"/>
              <w:numPr>
                <w:ilvl w:val="1"/>
                <w:numId w:val="28"/>
              </w:numPr>
              <w:spacing w:before="80" w:after="80" w:line="240" w:lineRule="auto"/>
              <w:ind w:left="720"/>
              <w:contextualSpacing/>
            </w:pPr>
            <w:r>
              <w:t xml:space="preserve">Very hazardous in case of eye contact (irritant). </w:t>
            </w:r>
          </w:p>
          <w:p w14:paraId="3D3DE449" w14:textId="2A84FE59" w:rsidR="007B32E3" w:rsidRDefault="00AC2282" w:rsidP="007F7A9D">
            <w:pPr>
              <w:pStyle w:val="Normal1"/>
              <w:widowControl w:val="0"/>
              <w:numPr>
                <w:ilvl w:val="1"/>
                <w:numId w:val="28"/>
              </w:numPr>
              <w:spacing w:before="80" w:after="80" w:line="240" w:lineRule="auto"/>
              <w:ind w:left="720"/>
              <w:contextualSpacing/>
            </w:pPr>
            <w:r>
              <w:t>Hazardous in case of skin contact (irritant) or inhalation</w:t>
            </w:r>
            <w:r w:rsidR="00327ECB">
              <w:t>.</w:t>
            </w:r>
          </w:p>
          <w:p w14:paraId="0A6B8D81" w14:textId="4B1E64F0" w:rsidR="007B32E3" w:rsidRDefault="00AC2282" w:rsidP="007F7A9D">
            <w:pPr>
              <w:pStyle w:val="Normal1"/>
              <w:widowControl w:val="0"/>
              <w:numPr>
                <w:ilvl w:val="1"/>
                <w:numId w:val="28"/>
              </w:numPr>
              <w:spacing w:before="80" w:after="80" w:line="240" w:lineRule="auto"/>
              <w:ind w:left="720"/>
              <w:contextualSpacing/>
            </w:pPr>
            <w:r>
              <w:t>Slightly hazardous in case of ingestion</w:t>
            </w:r>
            <w:r w:rsidR="00327ECB">
              <w:t>.</w:t>
            </w:r>
          </w:p>
          <w:p w14:paraId="5B203E31" w14:textId="68132566" w:rsidR="007B32E3" w:rsidRDefault="00AC2282" w:rsidP="007F7A9D">
            <w:pPr>
              <w:pStyle w:val="Normal1"/>
              <w:widowControl w:val="0"/>
              <w:numPr>
                <w:ilvl w:val="1"/>
                <w:numId w:val="28"/>
              </w:numPr>
              <w:spacing w:before="80" w:after="80" w:line="240" w:lineRule="auto"/>
              <w:ind w:left="720"/>
              <w:contextualSpacing/>
            </w:pPr>
            <w:r>
              <w:t>Inflammation of the eye is characterized by redness, watering, and itching</w:t>
            </w:r>
            <w:r w:rsidR="00327ECB">
              <w:t>.</w:t>
            </w:r>
          </w:p>
          <w:p w14:paraId="7EFEBDB5" w14:textId="418EAE92" w:rsidR="007B32E3" w:rsidRDefault="00AC2282" w:rsidP="007F7A9D">
            <w:pPr>
              <w:pStyle w:val="Normal1"/>
              <w:widowControl w:val="0"/>
              <w:numPr>
                <w:ilvl w:val="1"/>
                <w:numId w:val="28"/>
              </w:numPr>
              <w:spacing w:before="80" w:after="80" w:line="240" w:lineRule="auto"/>
              <w:ind w:left="720"/>
              <w:contextualSpacing/>
            </w:pPr>
            <w:r>
              <w:t>The substance is toxic to kidneys, liver</w:t>
            </w:r>
            <w:r w:rsidR="00327ECB">
              <w:t>.</w:t>
            </w:r>
          </w:p>
          <w:p w14:paraId="0DC0B5C7" w14:textId="77777777" w:rsidR="007B32E3" w:rsidRDefault="6647E6A1" w:rsidP="007F7A9D">
            <w:pPr>
              <w:pStyle w:val="Normal1"/>
              <w:widowControl w:val="0"/>
              <w:spacing w:before="80" w:after="80" w:line="240" w:lineRule="auto"/>
              <w:contextualSpacing/>
            </w:pPr>
            <w:r>
              <w:t>Hexane(s)</w:t>
            </w:r>
          </w:p>
          <w:p w14:paraId="09A33A3C" w14:textId="19CBDBD3" w:rsidR="6647E6A1" w:rsidRDefault="6647E6A1" w:rsidP="007F7A9D">
            <w:pPr>
              <w:pStyle w:val="Normal1"/>
              <w:numPr>
                <w:ilvl w:val="1"/>
                <w:numId w:val="29"/>
              </w:numPr>
              <w:spacing w:before="80" w:after="80" w:line="240" w:lineRule="auto"/>
              <w:ind w:left="720"/>
              <w:contextualSpacing/>
            </w:pPr>
            <w:r>
              <w:t>Flammable</w:t>
            </w:r>
            <w:r w:rsidR="00327ECB">
              <w:t>.</w:t>
            </w:r>
          </w:p>
          <w:p w14:paraId="350A51DC" w14:textId="3CBCFDC0" w:rsidR="007B32E3" w:rsidRDefault="00AC2282" w:rsidP="007F7A9D">
            <w:pPr>
              <w:pStyle w:val="Normal1"/>
              <w:widowControl w:val="0"/>
              <w:numPr>
                <w:ilvl w:val="1"/>
                <w:numId w:val="29"/>
              </w:numPr>
              <w:spacing w:before="80" w:after="80" w:line="240" w:lineRule="auto"/>
              <w:ind w:left="720"/>
              <w:contextualSpacing/>
            </w:pPr>
            <w:r>
              <w:t>Hazardous in case of skin contact (permeator), ingestion, or inhalation</w:t>
            </w:r>
            <w:r w:rsidR="00327ECB">
              <w:t>.</w:t>
            </w:r>
          </w:p>
          <w:p w14:paraId="67F33219" w14:textId="395F8F42" w:rsidR="007B32E3" w:rsidRDefault="00AC2282" w:rsidP="007F7A9D">
            <w:pPr>
              <w:pStyle w:val="Normal1"/>
              <w:widowControl w:val="0"/>
              <w:numPr>
                <w:ilvl w:val="1"/>
                <w:numId w:val="29"/>
              </w:numPr>
              <w:spacing w:before="80" w:after="80" w:line="240" w:lineRule="auto"/>
              <w:ind w:left="720"/>
              <w:contextualSpacing/>
            </w:pPr>
            <w:r>
              <w:t>Slightly hazardous in case of skin contact (irritant), of eye contact (irritant)</w:t>
            </w:r>
            <w:r w:rsidR="00327ECB">
              <w:t>.</w:t>
            </w:r>
          </w:p>
          <w:p w14:paraId="77D5C65D" w14:textId="2207AF05" w:rsidR="007B32E3" w:rsidRDefault="6647E6A1" w:rsidP="007F7A9D">
            <w:pPr>
              <w:pStyle w:val="Normal1"/>
              <w:widowControl w:val="0"/>
              <w:numPr>
                <w:ilvl w:val="1"/>
                <w:numId w:val="29"/>
              </w:numPr>
              <w:spacing w:before="80" w:after="80" w:line="240" w:lineRule="auto"/>
              <w:ind w:left="720"/>
              <w:contextualSpacing/>
            </w:pPr>
            <w:r>
              <w:t>The substance may be toxic to peripheral nervous system, skin, and CNS</w:t>
            </w:r>
            <w:r w:rsidR="00327ECB">
              <w:t>.</w:t>
            </w:r>
          </w:p>
          <w:p w14:paraId="5F27E375" w14:textId="1BD216B4" w:rsidR="007B32E3" w:rsidRDefault="00AC2282" w:rsidP="007F7A9D">
            <w:pPr>
              <w:pStyle w:val="Normal1"/>
              <w:widowControl w:val="0"/>
              <w:numPr>
                <w:ilvl w:val="1"/>
                <w:numId w:val="29"/>
              </w:numPr>
              <w:spacing w:before="80" w:after="80" w:line="240" w:lineRule="auto"/>
              <w:ind w:left="720"/>
              <w:contextualSpacing/>
            </w:pPr>
            <w:r>
              <w:t>Repeated or prolonged exposure to the substance can produce target organs damage</w:t>
            </w:r>
            <w:r w:rsidR="00327ECB">
              <w:t>.</w:t>
            </w:r>
          </w:p>
          <w:p w14:paraId="184DDB25" w14:textId="77777777" w:rsidR="007B32E3" w:rsidRDefault="6647E6A1" w:rsidP="007F7A9D">
            <w:pPr>
              <w:pStyle w:val="Normal1"/>
              <w:widowControl w:val="0"/>
              <w:numPr>
                <w:ilvl w:val="0"/>
                <w:numId w:val="3"/>
              </w:numPr>
              <w:spacing w:before="80" w:after="80" w:line="240" w:lineRule="auto"/>
              <w:contextualSpacing/>
            </w:pPr>
            <w:r>
              <w:t>Pyridine</w:t>
            </w:r>
          </w:p>
          <w:p w14:paraId="7554F21F" w14:textId="402E657C" w:rsidR="6647E6A1" w:rsidRDefault="6647E6A1" w:rsidP="007F7A9D">
            <w:pPr>
              <w:pStyle w:val="Normal1"/>
              <w:numPr>
                <w:ilvl w:val="1"/>
                <w:numId w:val="30"/>
              </w:numPr>
              <w:spacing w:before="80" w:after="80" w:line="240" w:lineRule="auto"/>
              <w:ind w:left="720"/>
              <w:contextualSpacing/>
            </w:pPr>
            <w:r>
              <w:t>Flammable</w:t>
            </w:r>
            <w:r w:rsidR="00327ECB">
              <w:t>.</w:t>
            </w:r>
          </w:p>
          <w:p w14:paraId="7DDCD389" w14:textId="4EF80FDA" w:rsidR="007B32E3" w:rsidRDefault="00AC2282" w:rsidP="007F7A9D">
            <w:pPr>
              <w:pStyle w:val="Normal1"/>
              <w:widowControl w:val="0"/>
              <w:numPr>
                <w:ilvl w:val="1"/>
                <w:numId w:val="30"/>
              </w:numPr>
              <w:spacing w:before="80" w:after="80" w:line="240" w:lineRule="auto"/>
              <w:ind w:left="720"/>
              <w:contextualSpacing/>
            </w:pPr>
            <w:r>
              <w:t>Hazardous in case of skin contact (irritant, permeator), eye contact (irritant), ingestion, inhalation</w:t>
            </w:r>
            <w:r w:rsidR="00327ECB">
              <w:t>.</w:t>
            </w:r>
          </w:p>
          <w:p w14:paraId="1BAC1859" w14:textId="1D84F4D1" w:rsidR="007B32E3" w:rsidRDefault="6647E6A1" w:rsidP="007F7A9D">
            <w:pPr>
              <w:pStyle w:val="Normal1"/>
              <w:widowControl w:val="0"/>
              <w:numPr>
                <w:ilvl w:val="1"/>
                <w:numId w:val="30"/>
              </w:numPr>
              <w:spacing w:before="80" w:after="80" w:line="240" w:lineRule="auto"/>
              <w:ind w:left="720"/>
              <w:contextualSpacing/>
            </w:pPr>
            <w:r>
              <w:t>The substance may be toxic to blood, kidneys, liver, mucous membranes, peripheral nervous system, eyes, and CNS</w:t>
            </w:r>
            <w:r w:rsidR="00327ECB">
              <w:t>.</w:t>
            </w:r>
          </w:p>
          <w:p w14:paraId="342EBF43" w14:textId="10B0A881" w:rsidR="007B32E3" w:rsidRDefault="00AC2282" w:rsidP="007F7A9D">
            <w:pPr>
              <w:pStyle w:val="Normal1"/>
              <w:widowControl w:val="0"/>
              <w:numPr>
                <w:ilvl w:val="1"/>
                <w:numId w:val="30"/>
              </w:numPr>
              <w:spacing w:before="80" w:after="80" w:line="240" w:lineRule="auto"/>
              <w:ind w:left="720"/>
              <w:contextualSpacing/>
            </w:pPr>
            <w:r>
              <w:t>Repeated or prolonged exposure to the substance can produce target organs damage</w:t>
            </w:r>
            <w:r w:rsidR="00327ECB">
              <w:t>.</w:t>
            </w:r>
          </w:p>
          <w:p w14:paraId="006C3846" w14:textId="7A4A402D" w:rsidR="007B32E3" w:rsidRDefault="6647E6A1" w:rsidP="007F7A9D">
            <w:pPr>
              <w:pStyle w:val="Normal1"/>
              <w:widowControl w:val="0"/>
              <w:spacing w:before="80" w:after="80" w:line="240" w:lineRule="auto"/>
              <w:contextualSpacing/>
            </w:pPr>
            <w:r>
              <w:t>Dimethylformamide</w:t>
            </w:r>
            <w:r w:rsidR="00327ECB">
              <w:t xml:space="preserve"> (DMF)</w:t>
            </w:r>
          </w:p>
          <w:p w14:paraId="60A2BFBE" w14:textId="38DA8093" w:rsidR="6647E6A1" w:rsidRDefault="6647E6A1" w:rsidP="007F7A9D">
            <w:pPr>
              <w:pStyle w:val="Normal1"/>
              <w:numPr>
                <w:ilvl w:val="1"/>
                <w:numId w:val="31"/>
              </w:numPr>
              <w:spacing w:before="80" w:after="80" w:line="240" w:lineRule="auto"/>
              <w:ind w:left="720"/>
              <w:contextualSpacing/>
            </w:pPr>
            <w:r>
              <w:t>Flammable</w:t>
            </w:r>
            <w:r w:rsidR="00327ECB">
              <w:t>.</w:t>
            </w:r>
          </w:p>
          <w:p w14:paraId="52B77B1E" w14:textId="3183496A" w:rsidR="007B32E3" w:rsidRDefault="00AC2282" w:rsidP="007F7A9D">
            <w:pPr>
              <w:pStyle w:val="Normal1"/>
              <w:widowControl w:val="0"/>
              <w:numPr>
                <w:ilvl w:val="1"/>
                <w:numId w:val="31"/>
              </w:numPr>
              <w:spacing w:before="80" w:after="80" w:line="240" w:lineRule="auto"/>
              <w:ind w:left="720"/>
              <w:contextualSpacing/>
            </w:pPr>
            <w:r>
              <w:t>Skin, eye, and respiratory irritant</w:t>
            </w:r>
            <w:r w:rsidR="00327ECB">
              <w:t>.</w:t>
            </w:r>
          </w:p>
          <w:p w14:paraId="63FB15C0" w14:textId="14A44253" w:rsidR="007B32E3" w:rsidRDefault="00AC2282" w:rsidP="007F7A9D">
            <w:pPr>
              <w:pStyle w:val="Normal1"/>
              <w:widowControl w:val="0"/>
              <w:numPr>
                <w:ilvl w:val="1"/>
                <w:numId w:val="31"/>
              </w:numPr>
              <w:spacing w:before="80" w:after="80" w:line="240" w:lineRule="auto"/>
              <w:ind w:left="720"/>
              <w:contextualSpacing/>
            </w:pPr>
            <w:r>
              <w:t>Skin permeator</w:t>
            </w:r>
            <w:r w:rsidR="00327ECB">
              <w:t>.</w:t>
            </w:r>
          </w:p>
          <w:p w14:paraId="327E429D" w14:textId="7C912352" w:rsidR="007B32E3" w:rsidRDefault="00AC2282" w:rsidP="007F7A9D">
            <w:pPr>
              <w:pStyle w:val="Normal1"/>
              <w:widowControl w:val="0"/>
              <w:numPr>
                <w:ilvl w:val="1"/>
                <w:numId w:val="31"/>
              </w:numPr>
              <w:spacing w:before="80" w:after="80" w:line="240" w:lineRule="auto"/>
              <w:ind w:left="720"/>
              <w:contextualSpacing/>
            </w:pPr>
            <w:r>
              <w:t>Mutagenic to mammalian somatic cells</w:t>
            </w:r>
            <w:r w:rsidR="00327ECB">
              <w:t>.</w:t>
            </w:r>
          </w:p>
          <w:p w14:paraId="30CE4F09" w14:textId="6704F154" w:rsidR="007B32E3" w:rsidRDefault="00AC2282" w:rsidP="007F7A9D">
            <w:pPr>
              <w:pStyle w:val="Normal1"/>
              <w:widowControl w:val="0"/>
              <w:numPr>
                <w:ilvl w:val="1"/>
                <w:numId w:val="31"/>
              </w:numPr>
              <w:spacing w:before="80" w:after="80" w:line="240" w:lineRule="auto"/>
              <w:ind w:left="720"/>
              <w:contextualSpacing/>
            </w:pPr>
            <w:r>
              <w:t>Reproductive toxin</w:t>
            </w:r>
            <w:r w:rsidR="00327ECB">
              <w:t>.</w:t>
            </w:r>
          </w:p>
          <w:p w14:paraId="75BAE97A" w14:textId="43AB1D20" w:rsidR="007B32E3" w:rsidRDefault="00AC2282" w:rsidP="007F7A9D">
            <w:pPr>
              <w:pStyle w:val="Normal1"/>
              <w:widowControl w:val="0"/>
              <w:numPr>
                <w:ilvl w:val="1"/>
                <w:numId w:val="31"/>
              </w:numPr>
              <w:spacing w:before="80" w:after="80" w:line="240" w:lineRule="auto"/>
              <w:ind w:left="720"/>
              <w:contextualSpacing/>
            </w:pPr>
            <w:r>
              <w:t>Toxic to kidney, liver, and CNS</w:t>
            </w:r>
            <w:r w:rsidR="00327ECB">
              <w:t>.</w:t>
            </w:r>
          </w:p>
          <w:p w14:paraId="1E9BEC07" w14:textId="168926E6" w:rsidR="007B32E3" w:rsidRDefault="00AC2282" w:rsidP="007F7A9D">
            <w:pPr>
              <w:pStyle w:val="Normal1"/>
              <w:widowControl w:val="0"/>
              <w:numPr>
                <w:ilvl w:val="1"/>
                <w:numId w:val="31"/>
              </w:numPr>
              <w:spacing w:before="80" w:after="80" w:line="240" w:lineRule="auto"/>
              <w:ind w:left="720"/>
              <w:contextualSpacing/>
            </w:pPr>
            <w:r>
              <w:t>Repeated or prolonged exposure to the substance can produce target organs damage</w:t>
            </w:r>
            <w:r w:rsidR="00327ECB">
              <w:t>.</w:t>
            </w:r>
          </w:p>
        </w:tc>
      </w:tr>
      <w:tr w:rsidR="007B32E3" w14:paraId="7A8BB50D" w14:textId="77777777" w:rsidTr="6647E6A1">
        <w:trPr>
          <w:trHeight w:val="420"/>
          <w:jc w:val="center"/>
        </w:trPr>
        <w:tc>
          <w:tcPr>
            <w:tcW w:w="10425" w:type="dxa"/>
            <w:gridSpan w:val="2"/>
            <w:shd w:val="clear" w:color="auto" w:fill="000E2F"/>
            <w:vAlign w:val="center"/>
          </w:tcPr>
          <w:p w14:paraId="341A9325" w14:textId="77777777" w:rsidR="007B32E3" w:rsidRDefault="00AC2282" w:rsidP="00913D91">
            <w:pPr>
              <w:pStyle w:val="Heading1"/>
              <w:spacing w:before="0"/>
              <w:rPr>
                <w:b/>
                <w:color w:val="FFFFFF"/>
                <w:sz w:val="24"/>
                <w:szCs w:val="24"/>
              </w:rPr>
            </w:pPr>
            <w:r>
              <w:rPr>
                <w:b/>
                <w:color w:val="FFFFFF"/>
                <w:sz w:val="24"/>
                <w:szCs w:val="24"/>
              </w:rPr>
              <w:lastRenderedPageBreak/>
              <w:t>SECTION 2 – ADMINISTRATIVE CONTROLS</w:t>
            </w:r>
          </w:p>
        </w:tc>
      </w:tr>
      <w:tr w:rsidR="007B32E3" w14:paraId="51E24117" w14:textId="77777777" w:rsidTr="6647E6A1">
        <w:trPr>
          <w:trHeight w:val="420"/>
          <w:jc w:val="center"/>
        </w:trPr>
        <w:tc>
          <w:tcPr>
            <w:tcW w:w="10425" w:type="dxa"/>
            <w:gridSpan w:val="2"/>
            <w:shd w:val="clear" w:color="auto" w:fill="FFFFFF" w:themeFill="background1"/>
            <w:vAlign w:val="center"/>
          </w:tcPr>
          <w:p w14:paraId="5CAD9FEB" w14:textId="73295598" w:rsidR="00AC2282" w:rsidRPr="00327ECB" w:rsidRDefault="00AC2282" w:rsidP="00AC2282">
            <w:pPr>
              <w:pStyle w:val="ListParagraph"/>
              <w:widowControl w:val="0"/>
              <w:numPr>
                <w:ilvl w:val="0"/>
                <w:numId w:val="2"/>
              </w:numPr>
              <w:spacing w:before="80" w:after="80" w:line="240" w:lineRule="auto"/>
              <w:rPr>
                <w:rFonts w:ascii="Calibri" w:hAnsi="Calibri"/>
              </w:rPr>
            </w:pPr>
            <w:bookmarkStart w:id="0" w:name="_gjdgxs" w:colFirst="0" w:colLast="0"/>
            <w:bookmarkEnd w:id="0"/>
            <w:r w:rsidRPr="00327ECB">
              <w:rPr>
                <w:rFonts w:ascii="Calibri" w:hAnsi="Calibri"/>
              </w:rPr>
              <w:t xml:space="preserve">Anyone using the chemicals and procedures described herein needs to have undergone the annual EH&amp;S </w:t>
            </w:r>
            <w:hyperlink r:id="rId7" w:history="1">
              <w:r w:rsidRPr="00327ECB">
                <w:rPr>
                  <w:rStyle w:val="Hyperlink"/>
                  <w:rFonts w:ascii="Calibri" w:hAnsi="Calibri"/>
                </w:rPr>
                <w:t>Chemical Hygiene Training</w:t>
              </w:r>
            </w:hyperlink>
          </w:p>
          <w:p w14:paraId="0BDCDF4E" w14:textId="77777777" w:rsidR="00AC2282" w:rsidRPr="00327ECB" w:rsidRDefault="00AC2282" w:rsidP="00AC2282">
            <w:pPr>
              <w:pStyle w:val="ListParagraph"/>
              <w:widowControl w:val="0"/>
              <w:numPr>
                <w:ilvl w:val="0"/>
                <w:numId w:val="2"/>
              </w:numPr>
              <w:spacing w:before="80" w:after="80" w:line="240" w:lineRule="auto"/>
              <w:rPr>
                <w:rFonts w:ascii="Calibri" w:hAnsi="Calibri"/>
              </w:rPr>
            </w:pPr>
            <w:r w:rsidRPr="00327ECB">
              <w:rPr>
                <w:rFonts w:ascii="Calibri" w:hAnsi="Calibri"/>
              </w:rPr>
              <w:t xml:space="preserve">Be aware of the applicable safety data sheets (MSDS): </w:t>
            </w:r>
            <w:hyperlink r:id="rId8" w:history="1">
              <w:r w:rsidRPr="00327ECB">
                <w:rPr>
                  <w:rStyle w:val="Hyperlink"/>
                  <w:rFonts w:ascii="Calibri" w:eastAsia="Times New Roman" w:hAnsi="Calibri" w:cs="Aparajita"/>
                  <w:snapToGrid w:val="0"/>
                </w:rPr>
                <w:t>http://www.msds.com</w:t>
              </w:r>
            </w:hyperlink>
          </w:p>
          <w:p w14:paraId="336F5A26" w14:textId="2A936228" w:rsidR="007B32E3" w:rsidRPr="00327ECB" w:rsidRDefault="00694AFA" w:rsidP="00AC2282">
            <w:pPr>
              <w:pStyle w:val="ListParagraph"/>
              <w:widowControl w:val="0"/>
              <w:numPr>
                <w:ilvl w:val="0"/>
                <w:numId w:val="2"/>
              </w:numPr>
              <w:spacing w:before="80" w:after="80" w:line="240" w:lineRule="auto"/>
              <w:rPr>
                <w:rFonts w:cs="Tahoma"/>
                <w:color w:val="000000"/>
                <w:shd w:val="clear" w:color="auto" w:fill="FFFFFF"/>
              </w:rPr>
            </w:pPr>
            <w:hyperlink r:id="rId9" w:history="1">
              <w:r w:rsidR="00AC2282" w:rsidRPr="00327ECB">
                <w:rPr>
                  <w:rStyle w:val="Hyperlink"/>
                  <w:rFonts w:ascii="Calibri" w:hAnsi="Calibri"/>
                </w:rPr>
                <w:t>Working Alone</w:t>
              </w:r>
            </w:hyperlink>
            <w:r w:rsidR="00AC2282" w:rsidRPr="00327ECB">
              <w:rPr>
                <w:rFonts w:ascii="Calibri" w:hAnsi="Calibri"/>
              </w:rPr>
              <w:t xml:space="preserve"> is not permitted when using chemicals or processes described in this LSOP</w:t>
            </w:r>
            <w:r w:rsidR="00134B90">
              <w:rPr>
                <w:rFonts w:ascii="Calibri" w:hAnsi="Calibri"/>
              </w:rPr>
              <w:t>.</w:t>
            </w:r>
          </w:p>
        </w:tc>
      </w:tr>
      <w:tr w:rsidR="007B32E3" w14:paraId="2FBBCB65" w14:textId="77777777" w:rsidTr="00CA2D4E">
        <w:trPr>
          <w:trHeight w:val="359"/>
          <w:jc w:val="center"/>
        </w:trPr>
        <w:tc>
          <w:tcPr>
            <w:tcW w:w="10425" w:type="dxa"/>
            <w:gridSpan w:val="2"/>
            <w:shd w:val="clear" w:color="auto" w:fill="000E2F"/>
            <w:vAlign w:val="center"/>
          </w:tcPr>
          <w:p w14:paraId="6FE7EEA9" w14:textId="77777777" w:rsidR="007B32E3" w:rsidRDefault="00AC2282" w:rsidP="00913D91">
            <w:pPr>
              <w:pStyle w:val="Heading1"/>
              <w:spacing w:before="0"/>
              <w:rPr>
                <w:b/>
                <w:sz w:val="24"/>
                <w:szCs w:val="24"/>
              </w:rPr>
            </w:pPr>
            <w:r>
              <w:rPr>
                <w:b/>
                <w:color w:val="FFFFFF"/>
                <w:sz w:val="24"/>
                <w:szCs w:val="24"/>
              </w:rPr>
              <w:t>SECTION 3- ENGINEERING CONTROLS</w:t>
            </w:r>
          </w:p>
        </w:tc>
      </w:tr>
      <w:tr w:rsidR="007B32E3" w14:paraId="0CE0A259" w14:textId="77777777" w:rsidTr="6647E6A1">
        <w:trPr>
          <w:trHeight w:val="420"/>
          <w:jc w:val="center"/>
        </w:trPr>
        <w:tc>
          <w:tcPr>
            <w:tcW w:w="10425" w:type="dxa"/>
            <w:gridSpan w:val="2"/>
            <w:shd w:val="clear" w:color="auto" w:fill="FFFFFF" w:themeFill="background1"/>
            <w:vAlign w:val="center"/>
          </w:tcPr>
          <w:p w14:paraId="1F9E8926" w14:textId="77777777" w:rsidR="00887462" w:rsidRPr="00887462" w:rsidRDefault="00887462" w:rsidP="00887462">
            <w:pPr>
              <w:pStyle w:val="ListParagraph"/>
              <w:numPr>
                <w:ilvl w:val="0"/>
                <w:numId w:val="32"/>
              </w:numPr>
              <w:rPr>
                <w:rFonts w:ascii="Calibri" w:hAnsi="Calibri"/>
              </w:rPr>
            </w:pPr>
            <w:r w:rsidRPr="00887462">
              <w:rPr>
                <w:rFonts w:ascii="Calibri" w:hAnsi="Calibri"/>
              </w:rPr>
              <w:t>All research with flammable solvents should be conducted in a chemical fume hood, with the sash at the lowest working height and with sliding sash panels aligned to form a barrier between the researcher and the experiment.</w:t>
            </w:r>
          </w:p>
          <w:p w14:paraId="30DF9840" w14:textId="780B1DAB" w:rsidR="007B32E3" w:rsidRDefault="00887462" w:rsidP="00887462">
            <w:pPr>
              <w:pStyle w:val="ListParagraph"/>
              <w:numPr>
                <w:ilvl w:val="0"/>
                <w:numId w:val="32"/>
              </w:numPr>
            </w:pPr>
            <w:r w:rsidRPr="00887462">
              <w:rPr>
                <w:rFonts w:ascii="Calibri" w:hAnsi="Calibri"/>
              </w:rPr>
              <w:t>Chemical fume hoods must have been tested by EHS within the last year. If the hood is not working properly, contact Facilities (486-3113) to repair the hood or EH&amp;S to retest (486-3613).</w:t>
            </w:r>
          </w:p>
        </w:tc>
      </w:tr>
    </w:tbl>
    <w:p w14:paraId="095D85D9" w14:textId="77777777" w:rsidR="00C11DB1" w:rsidRDefault="00C11DB1">
      <w:r>
        <w:br w:type="page"/>
      </w:r>
    </w:p>
    <w:tbl>
      <w:tblPr>
        <w:tblStyle w:val="a"/>
        <w:tblW w:w="104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25"/>
      </w:tblGrid>
      <w:tr w:rsidR="007B32E3" w14:paraId="257710C6" w14:textId="77777777" w:rsidTr="6647E6A1">
        <w:trPr>
          <w:trHeight w:val="420"/>
          <w:jc w:val="center"/>
        </w:trPr>
        <w:tc>
          <w:tcPr>
            <w:tcW w:w="10425" w:type="dxa"/>
            <w:shd w:val="clear" w:color="auto" w:fill="000E2F"/>
            <w:vAlign w:val="center"/>
          </w:tcPr>
          <w:p w14:paraId="20C0F4AB" w14:textId="671E1D79" w:rsidR="007B32E3" w:rsidRDefault="00AC2282" w:rsidP="00913D91">
            <w:pPr>
              <w:pStyle w:val="Heading1"/>
              <w:spacing w:before="0"/>
              <w:rPr>
                <w:b/>
                <w:sz w:val="24"/>
                <w:szCs w:val="24"/>
              </w:rPr>
            </w:pPr>
            <w:r>
              <w:rPr>
                <w:b/>
                <w:color w:val="FFFFFF"/>
                <w:sz w:val="24"/>
                <w:szCs w:val="24"/>
              </w:rPr>
              <w:lastRenderedPageBreak/>
              <w:t>SECTION 4 – WORK PRACTICES</w:t>
            </w:r>
          </w:p>
        </w:tc>
      </w:tr>
      <w:tr w:rsidR="007B32E3" w14:paraId="73E42FB7" w14:textId="77777777" w:rsidTr="6647E6A1">
        <w:trPr>
          <w:trHeight w:val="420"/>
          <w:jc w:val="center"/>
        </w:trPr>
        <w:tc>
          <w:tcPr>
            <w:tcW w:w="10425" w:type="dxa"/>
            <w:shd w:val="clear" w:color="auto" w:fill="FFFFFF" w:themeFill="background1"/>
            <w:vAlign w:val="center"/>
          </w:tcPr>
          <w:p w14:paraId="63CB4ECC" w14:textId="77777777" w:rsidR="00AC1FE9" w:rsidRPr="00BB35A5" w:rsidRDefault="00AC2282" w:rsidP="00BB35A5">
            <w:pPr>
              <w:pStyle w:val="Normal1"/>
              <w:widowControl w:val="0"/>
              <w:numPr>
                <w:ilvl w:val="0"/>
                <w:numId w:val="16"/>
              </w:numPr>
              <w:spacing w:before="80" w:after="80" w:line="240" w:lineRule="auto"/>
              <w:contextualSpacing/>
            </w:pPr>
            <w:r w:rsidRPr="00BB35A5">
              <w:t>In general, all listed solvents should be handled in the hood.</w:t>
            </w:r>
            <w:r w:rsidR="00AC1FE9" w:rsidRPr="00BB35A5">
              <w:t xml:space="preserve"> </w:t>
            </w:r>
          </w:p>
          <w:p w14:paraId="099AE445" w14:textId="2111A69A" w:rsidR="007B32E3" w:rsidRPr="00BB35A5" w:rsidRDefault="00AC1FE9" w:rsidP="00BB35A5">
            <w:pPr>
              <w:pStyle w:val="Normal1"/>
              <w:widowControl w:val="0"/>
              <w:numPr>
                <w:ilvl w:val="0"/>
                <w:numId w:val="16"/>
              </w:numPr>
              <w:spacing w:before="80" w:after="80" w:line="240" w:lineRule="auto"/>
              <w:contextualSpacing/>
            </w:pPr>
            <w:r w:rsidRPr="00BB35A5">
              <w:t>Do not keep bottles on the floor</w:t>
            </w:r>
            <w:r w:rsidR="00134B90">
              <w:t>.</w:t>
            </w:r>
          </w:p>
          <w:p w14:paraId="1633DDB9" w14:textId="3D312156" w:rsidR="00AC1FE9" w:rsidRPr="00BB35A5" w:rsidRDefault="00AC1FE9" w:rsidP="00BB35A5">
            <w:pPr>
              <w:pStyle w:val="Normal1"/>
              <w:widowControl w:val="0"/>
              <w:numPr>
                <w:ilvl w:val="0"/>
                <w:numId w:val="16"/>
              </w:numPr>
              <w:spacing w:before="80" w:after="80" w:line="240" w:lineRule="auto"/>
              <w:contextualSpacing/>
            </w:pPr>
            <w:r w:rsidRPr="00BB35A5">
              <w:t>Keep the flammable cabinets shut</w:t>
            </w:r>
            <w:r w:rsidR="00134B90">
              <w:t>.</w:t>
            </w:r>
          </w:p>
          <w:p w14:paraId="5ECDAD97" w14:textId="20D8AD58" w:rsidR="00AC1FE9" w:rsidRPr="00BB35A5" w:rsidRDefault="00AC1FE9" w:rsidP="00BB35A5">
            <w:pPr>
              <w:pStyle w:val="Normal1"/>
              <w:widowControl w:val="0"/>
              <w:numPr>
                <w:ilvl w:val="0"/>
                <w:numId w:val="16"/>
              </w:numPr>
              <w:spacing w:before="80" w:after="80" w:line="240" w:lineRule="auto"/>
              <w:contextualSpacing/>
            </w:pPr>
            <w:r w:rsidRPr="00BB35A5">
              <w:t>Keep only the minimal amounts of the flammable solvents on your bench</w:t>
            </w:r>
            <w:r w:rsidR="00134B90">
              <w:t>.</w:t>
            </w:r>
          </w:p>
          <w:p w14:paraId="13895A37" w14:textId="337EDF4A" w:rsidR="00AC1FE9" w:rsidRPr="00BB35A5" w:rsidRDefault="00AC1FE9" w:rsidP="00BB35A5">
            <w:pPr>
              <w:pStyle w:val="Normal1"/>
              <w:widowControl w:val="0"/>
              <w:numPr>
                <w:ilvl w:val="0"/>
                <w:numId w:val="16"/>
              </w:numPr>
              <w:spacing w:before="80" w:after="80" w:line="240" w:lineRule="auto"/>
              <w:contextualSpacing/>
            </w:pPr>
            <w:r w:rsidRPr="00BB35A5">
              <w:t>Keep them tigh</w:t>
            </w:r>
            <w:r w:rsidR="00BB35A5" w:rsidRPr="00BB35A5">
              <w:t>t</w:t>
            </w:r>
            <w:r w:rsidRPr="00BB35A5">
              <w:t>ly shut of not in use</w:t>
            </w:r>
            <w:r w:rsidR="00134B90">
              <w:t>.</w:t>
            </w:r>
          </w:p>
          <w:p w14:paraId="1756BA16" w14:textId="2548D6F4" w:rsidR="00BB35A5" w:rsidRPr="00BB35A5" w:rsidRDefault="00BB35A5" w:rsidP="6647E6A1">
            <w:pPr>
              <w:pStyle w:val="Heading1"/>
              <w:keepNext w:val="0"/>
              <w:keepLines w:val="0"/>
              <w:widowControl w:val="0"/>
              <w:numPr>
                <w:ilvl w:val="0"/>
                <w:numId w:val="18"/>
              </w:numPr>
              <w:pBdr>
                <w:top w:val="none" w:sz="0" w:space="0" w:color="auto"/>
                <w:left w:val="none" w:sz="0" w:space="0" w:color="auto"/>
                <w:bottom w:val="none" w:sz="0" w:space="0" w:color="auto"/>
                <w:right w:val="none" w:sz="0" w:space="0" w:color="auto"/>
                <w:between w:val="none" w:sz="0" w:space="0" w:color="auto"/>
              </w:pBdr>
              <w:spacing w:before="80" w:after="80" w:line="240" w:lineRule="auto"/>
              <w:contextualSpacing/>
              <w:rPr>
                <w:rFonts w:eastAsia="Times New Roman" w:cs="Aparajita"/>
                <w:color w:val="auto"/>
                <w:sz w:val="22"/>
                <w:szCs w:val="22"/>
              </w:rPr>
            </w:pPr>
            <w:r w:rsidRPr="6647E6A1">
              <w:rPr>
                <w:rFonts w:asciiTheme="majorHAnsi" w:eastAsiaTheme="majorEastAsia" w:hAnsiTheme="majorHAnsi" w:cstheme="majorBidi"/>
                <w:snapToGrid w:val="0"/>
                <w:color w:val="auto"/>
                <w:sz w:val="22"/>
                <w:szCs w:val="22"/>
              </w:rPr>
              <w:t>All containers must be clearly labeled with the chemical name and hazard classes and kept tightly-sealed</w:t>
            </w:r>
            <w:r w:rsidR="00134B90">
              <w:rPr>
                <w:rFonts w:asciiTheme="majorHAnsi" w:eastAsiaTheme="majorEastAsia" w:hAnsiTheme="majorHAnsi" w:cstheme="majorBidi"/>
                <w:snapToGrid w:val="0"/>
                <w:color w:val="auto"/>
                <w:sz w:val="22"/>
                <w:szCs w:val="22"/>
              </w:rPr>
              <w:t>.</w:t>
            </w:r>
          </w:p>
          <w:p w14:paraId="752DAA1E" w14:textId="766B0389" w:rsidR="00BB35A5" w:rsidRDefault="00BB35A5" w:rsidP="00BB35A5">
            <w:pPr>
              <w:pStyle w:val="Normal1"/>
              <w:widowControl w:val="0"/>
              <w:numPr>
                <w:ilvl w:val="0"/>
                <w:numId w:val="16"/>
              </w:numPr>
              <w:spacing w:before="80" w:after="80" w:line="240" w:lineRule="auto"/>
              <w:contextualSpacing/>
            </w:pPr>
            <w:r w:rsidRPr="6647E6A1">
              <w:rPr>
                <w:rFonts w:asciiTheme="majorHAnsi" w:eastAsiaTheme="majorEastAsia" w:hAnsiTheme="majorHAnsi" w:cstheme="majorBidi"/>
                <w:snapToGrid w:val="0"/>
                <w:color w:val="auto"/>
              </w:rPr>
              <w:t>Empty containers of solvents must be handled carefully since product residues may still be harmful: Leave all contaminated glassware in the fume hood to vent/dry out</w:t>
            </w:r>
            <w:r w:rsidR="00134B90">
              <w:rPr>
                <w:rFonts w:asciiTheme="majorHAnsi" w:eastAsiaTheme="majorEastAsia" w:hAnsiTheme="majorHAnsi" w:cstheme="majorBidi"/>
                <w:snapToGrid w:val="0"/>
                <w:color w:val="auto"/>
              </w:rPr>
              <w:t>.</w:t>
            </w:r>
          </w:p>
        </w:tc>
      </w:tr>
      <w:tr w:rsidR="007B32E3" w14:paraId="7CB4C599" w14:textId="77777777" w:rsidTr="6647E6A1">
        <w:trPr>
          <w:trHeight w:val="420"/>
          <w:jc w:val="center"/>
        </w:trPr>
        <w:tc>
          <w:tcPr>
            <w:tcW w:w="10425" w:type="dxa"/>
            <w:shd w:val="clear" w:color="auto" w:fill="000E2F"/>
            <w:vAlign w:val="center"/>
          </w:tcPr>
          <w:p w14:paraId="14077233" w14:textId="77777777" w:rsidR="007B32E3" w:rsidRDefault="00AC2282" w:rsidP="00913D91">
            <w:pPr>
              <w:pStyle w:val="Heading1"/>
              <w:spacing w:before="0"/>
              <w:rPr>
                <w:b/>
                <w:sz w:val="24"/>
                <w:szCs w:val="24"/>
              </w:rPr>
            </w:pPr>
            <w:r>
              <w:rPr>
                <w:b/>
                <w:color w:val="FFFFFF"/>
                <w:sz w:val="24"/>
                <w:szCs w:val="24"/>
              </w:rPr>
              <w:t>SECTION 5 – PERSONAL PROTECTIVE EQUIPMENT (PPE)</w:t>
            </w:r>
          </w:p>
        </w:tc>
      </w:tr>
      <w:tr w:rsidR="007B32E3" w14:paraId="1D4A4E03" w14:textId="77777777" w:rsidTr="6647E6A1">
        <w:trPr>
          <w:trHeight w:val="420"/>
          <w:jc w:val="center"/>
        </w:trPr>
        <w:tc>
          <w:tcPr>
            <w:tcW w:w="10425" w:type="dxa"/>
            <w:shd w:val="clear" w:color="auto" w:fill="FFFFFF" w:themeFill="background1"/>
            <w:vAlign w:val="center"/>
          </w:tcPr>
          <w:p w14:paraId="3E0D6BD4" w14:textId="4D043185" w:rsidR="00AC1FE9" w:rsidRPr="0046113F" w:rsidRDefault="00AC1FE9" w:rsidP="00AC1FE9">
            <w:pPr>
              <w:pStyle w:val="ListParagraph"/>
              <w:widowControl w:val="0"/>
              <w:numPr>
                <w:ilvl w:val="0"/>
                <w:numId w:val="17"/>
              </w:numPr>
              <w:spacing w:before="80" w:after="80" w:line="240" w:lineRule="auto"/>
              <w:rPr>
                <w:rFonts w:ascii="Calibri" w:eastAsia="Times New Roman" w:hAnsi="Calibri" w:cs="Aparajita"/>
                <w:snapToGrid w:val="0"/>
              </w:rPr>
            </w:pPr>
            <w:r w:rsidRPr="0046113F">
              <w:rPr>
                <w:rFonts w:ascii="Calibri" w:eastAsia="Times New Roman" w:hAnsi="Calibri" w:cs="Aparajita"/>
                <w:snapToGrid w:val="0"/>
              </w:rPr>
              <w:t>At a minimum, a lab coat, long pants as well as closed-toed footwear and chemical safety glasses that meet American National Standards Institute (ANSI) standard Z-87.1 must be worn when handling any of the solvents</w:t>
            </w:r>
            <w:r w:rsidR="0046113F" w:rsidRPr="0046113F">
              <w:rPr>
                <w:rFonts w:ascii="Calibri" w:eastAsia="Times New Roman" w:hAnsi="Calibri" w:cs="Aparajita"/>
                <w:snapToGrid w:val="0"/>
              </w:rPr>
              <w:t>.</w:t>
            </w:r>
          </w:p>
          <w:p w14:paraId="4D624624" w14:textId="34ECA9C3" w:rsidR="00AC1FE9" w:rsidRPr="0046113F" w:rsidRDefault="00AC1FE9" w:rsidP="6647E6A1">
            <w:pPr>
              <w:pStyle w:val="ListParagraph"/>
              <w:widowControl w:val="0"/>
              <w:numPr>
                <w:ilvl w:val="0"/>
                <w:numId w:val="17"/>
              </w:numPr>
              <w:spacing w:before="80" w:after="80" w:line="240" w:lineRule="auto"/>
              <w:rPr>
                <w:rFonts w:ascii="Calibri" w:hAnsi="Calibri"/>
              </w:rPr>
            </w:pPr>
            <w:r w:rsidRPr="0046113F">
              <w:rPr>
                <w:rFonts w:ascii="Calibri" w:eastAsia="Times New Roman" w:hAnsi="Calibri" w:cs="Aparajita"/>
                <w:snapToGrid w:val="0"/>
              </w:rPr>
              <w:t xml:space="preserve">Check your type of gloves against a glove selection guide: </w:t>
            </w:r>
            <w:r w:rsidR="6647E6A1" w:rsidRPr="0046113F">
              <w:rPr>
                <w:rFonts w:ascii="Calibri" w:hAnsi="Calibri"/>
              </w:rPr>
              <w:t>https://www.coleparmer.com/safety-glove-chemical-compatibility</w:t>
            </w:r>
            <w:r w:rsidR="0046113F" w:rsidRPr="0046113F">
              <w:rPr>
                <w:rFonts w:ascii="Calibri" w:hAnsi="Calibri"/>
              </w:rPr>
              <w:t>.</w:t>
            </w:r>
          </w:p>
          <w:p w14:paraId="0E6D9719" w14:textId="76396DA3" w:rsidR="007B32E3" w:rsidRPr="00AC1FE9" w:rsidRDefault="00AC1FE9" w:rsidP="00AC1FE9">
            <w:pPr>
              <w:pStyle w:val="ListParagraph"/>
              <w:widowControl w:val="0"/>
              <w:numPr>
                <w:ilvl w:val="0"/>
                <w:numId w:val="17"/>
              </w:numPr>
              <w:spacing w:before="80" w:after="80" w:line="240" w:lineRule="auto"/>
              <w:rPr>
                <w:rFonts w:eastAsia="Times New Roman" w:cs="Aparajita"/>
                <w:snapToGrid w:val="0"/>
              </w:rPr>
            </w:pPr>
            <w:r w:rsidRPr="0046113F">
              <w:rPr>
                <w:rFonts w:ascii="Calibri" w:eastAsia="Times New Roman" w:hAnsi="Calibri" w:cs="Aparajita"/>
                <w:snapToGrid w:val="0"/>
              </w:rPr>
              <w:t>Chemical splash goggles and a rubber apron are recommended when handling large quantities of the solvents</w:t>
            </w:r>
            <w:r w:rsidR="0046113F" w:rsidRPr="0046113F">
              <w:rPr>
                <w:rFonts w:ascii="Calibri" w:eastAsia="Times New Roman" w:hAnsi="Calibri" w:cs="Aparajita"/>
                <w:snapToGrid w:val="0"/>
              </w:rPr>
              <w:t>.</w:t>
            </w:r>
          </w:p>
        </w:tc>
      </w:tr>
      <w:tr w:rsidR="007B32E3" w14:paraId="6EC5807E" w14:textId="77777777" w:rsidTr="6647E6A1">
        <w:trPr>
          <w:trHeight w:val="420"/>
          <w:jc w:val="center"/>
        </w:trPr>
        <w:tc>
          <w:tcPr>
            <w:tcW w:w="10425" w:type="dxa"/>
            <w:shd w:val="clear" w:color="auto" w:fill="000E2F"/>
            <w:vAlign w:val="center"/>
          </w:tcPr>
          <w:p w14:paraId="469F77D8" w14:textId="77777777" w:rsidR="007B32E3" w:rsidRDefault="00AC2282" w:rsidP="00913D91">
            <w:pPr>
              <w:pStyle w:val="Heading1"/>
              <w:spacing w:before="0"/>
              <w:rPr>
                <w:b/>
                <w:sz w:val="24"/>
                <w:szCs w:val="24"/>
              </w:rPr>
            </w:pPr>
            <w:r>
              <w:rPr>
                <w:b/>
                <w:color w:val="FFFFFF"/>
                <w:sz w:val="24"/>
                <w:szCs w:val="24"/>
              </w:rPr>
              <w:t>SECTION 6 – STORAGE</w:t>
            </w:r>
          </w:p>
        </w:tc>
      </w:tr>
      <w:tr w:rsidR="007B32E3" w14:paraId="267418D3" w14:textId="77777777" w:rsidTr="6647E6A1">
        <w:trPr>
          <w:trHeight w:val="420"/>
          <w:jc w:val="center"/>
        </w:trPr>
        <w:tc>
          <w:tcPr>
            <w:tcW w:w="10425" w:type="dxa"/>
            <w:shd w:val="clear" w:color="auto" w:fill="FFFFFF" w:themeFill="background1"/>
            <w:vAlign w:val="center"/>
          </w:tcPr>
          <w:p w14:paraId="785735CE" w14:textId="105F6F5C" w:rsidR="007B32E3" w:rsidRDefault="6647E6A1" w:rsidP="00416441">
            <w:pPr>
              <w:pStyle w:val="Normal1"/>
              <w:widowControl w:val="0"/>
              <w:numPr>
                <w:ilvl w:val="0"/>
                <w:numId w:val="4"/>
              </w:numPr>
              <w:spacing w:before="80" w:after="80" w:line="240" w:lineRule="auto"/>
              <w:contextualSpacing/>
            </w:pPr>
            <w:r>
              <w:t>Methanol, Ethyl Acetate, Hexanes, Dimethylformamide, Acetone, Toluene, Dimethyl Sulfoxide, Tetrahydrofuran, Diethyl Ether</w:t>
            </w:r>
            <w:r w:rsidR="00416441">
              <w:t xml:space="preserve">; </w:t>
            </w:r>
            <w:r w:rsidR="00AC2282">
              <w:t xml:space="preserve">Keep in a tightly sealed container within the </w:t>
            </w:r>
            <w:r w:rsidR="00AC1FE9">
              <w:t>f</w:t>
            </w:r>
            <w:r w:rsidR="00AC2282">
              <w:t>lammables cabinet</w:t>
            </w:r>
            <w:r w:rsidR="00AC1FE9">
              <w:t>s</w:t>
            </w:r>
            <w:r w:rsidR="00416441">
              <w:t>.</w:t>
            </w:r>
          </w:p>
          <w:p w14:paraId="656D2011" w14:textId="3FB7FC86" w:rsidR="007B32E3" w:rsidRDefault="00AC2282" w:rsidP="00416441">
            <w:pPr>
              <w:pStyle w:val="Normal1"/>
              <w:widowControl w:val="0"/>
              <w:numPr>
                <w:ilvl w:val="0"/>
                <w:numId w:val="4"/>
              </w:numPr>
              <w:spacing w:before="80" w:after="80" w:line="240" w:lineRule="auto"/>
              <w:contextualSpacing/>
            </w:pPr>
            <w:r>
              <w:t>Triethylamine, Pyridine</w:t>
            </w:r>
            <w:r w:rsidR="00416441">
              <w:t xml:space="preserve">; </w:t>
            </w:r>
            <w:r>
              <w:t>Keep in a tightly sealed container within the Bases/Amines cabinet</w:t>
            </w:r>
            <w:r w:rsidR="00416441">
              <w:t>.</w:t>
            </w:r>
          </w:p>
        </w:tc>
      </w:tr>
      <w:tr w:rsidR="007B32E3" w14:paraId="5F640C92" w14:textId="77777777" w:rsidTr="6647E6A1">
        <w:trPr>
          <w:trHeight w:val="420"/>
          <w:jc w:val="center"/>
        </w:trPr>
        <w:tc>
          <w:tcPr>
            <w:tcW w:w="10425" w:type="dxa"/>
            <w:shd w:val="clear" w:color="auto" w:fill="000E2F"/>
            <w:vAlign w:val="center"/>
          </w:tcPr>
          <w:p w14:paraId="4EE918AA" w14:textId="77777777" w:rsidR="007B32E3" w:rsidRDefault="00AC2282" w:rsidP="00913D91">
            <w:pPr>
              <w:pStyle w:val="Heading1"/>
              <w:spacing w:before="0" w:line="240" w:lineRule="auto"/>
              <w:rPr>
                <w:b/>
                <w:sz w:val="24"/>
                <w:szCs w:val="24"/>
              </w:rPr>
            </w:pPr>
            <w:r>
              <w:rPr>
                <w:b/>
                <w:color w:val="FFFFFF"/>
                <w:sz w:val="24"/>
                <w:szCs w:val="24"/>
              </w:rPr>
              <w:t>SECTION 7 – SPILL AND ACCIDENT PROCEDURES</w:t>
            </w:r>
          </w:p>
        </w:tc>
      </w:tr>
      <w:tr w:rsidR="007B32E3" w14:paraId="3E5A186F" w14:textId="77777777" w:rsidTr="6647E6A1">
        <w:trPr>
          <w:trHeight w:val="420"/>
          <w:jc w:val="center"/>
        </w:trPr>
        <w:tc>
          <w:tcPr>
            <w:tcW w:w="10425" w:type="dxa"/>
            <w:shd w:val="clear" w:color="auto" w:fill="FFFFFF" w:themeFill="background1"/>
            <w:vAlign w:val="center"/>
          </w:tcPr>
          <w:p w14:paraId="1C431C93" w14:textId="5777D40F" w:rsidR="007B32E3" w:rsidRPr="00AC1FE9" w:rsidRDefault="6647E6A1">
            <w:pPr>
              <w:pStyle w:val="Normal1"/>
              <w:widowControl w:val="0"/>
              <w:numPr>
                <w:ilvl w:val="0"/>
                <w:numId w:val="4"/>
              </w:numPr>
              <w:spacing w:before="80" w:after="80" w:line="240" w:lineRule="auto"/>
              <w:contextualSpacing/>
            </w:pPr>
            <w:r>
              <w:t>Methanol, Ethyl Acetate, Pyridine, Dimethylformamide, Acetone, Dimethyl Sulfoxide, Tetrahydrofuran, Diethyl Ether</w:t>
            </w:r>
          </w:p>
          <w:p w14:paraId="55ABFD95" w14:textId="77777777" w:rsidR="007B32E3" w:rsidRPr="00AC1FE9" w:rsidRDefault="00AC2282">
            <w:pPr>
              <w:pStyle w:val="Normal1"/>
              <w:widowControl w:val="0"/>
              <w:numPr>
                <w:ilvl w:val="1"/>
                <w:numId w:val="4"/>
              </w:numPr>
              <w:spacing w:before="80" w:after="80" w:line="240" w:lineRule="auto"/>
              <w:contextualSpacing/>
            </w:pPr>
            <w:r w:rsidRPr="00AC1FE9">
              <w:t>Dilute with water and mop up.</w:t>
            </w:r>
          </w:p>
          <w:p w14:paraId="422C1039" w14:textId="3DF73BF2" w:rsidR="007B32E3" w:rsidRPr="00AC1FE9" w:rsidRDefault="00416441">
            <w:pPr>
              <w:pStyle w:val="Normal1"/>
              <w:widowControl w:val="0"/>
              <w:numPr>
                <w:ilvl w:val="1"/>
                <w:numId w:val="4"/>
              </w:numPr>
              <w:spacing w:before="80" w:after="80" w:line="240" w:lineRule="auto"/>
              <w:contextualSpacing/>
            </w:pPr>
            <w:r>
              <w:t>A</w:t>
            </w:r>
            <w:r w:rsidR="00AC2282" w:rsidRPr="00AC1FE9">
              <w:t>bsorb with an inert material and dispose is the proper waste disposal</w:t>
            </w:r>
            <w:r w:rsidR="00385637">
              <w:t>.</w:t>
            </w:r>
          </w:p>
          <w:p w14:paraId="2F774568" w14:textId="77777777" w:rsidR="007B32E3" w:rsidRPr="00AC1FE9" w:rsidRDefault="00AC2282">
            <w:pPr>
              <w:pStyle w:val="Normal1"/>
              <w:widowControl w:val="0"/>
              <w:numPr>
                <w:ilvl w:val="0"/>
                <w:numId w:val="4"/>
              </w:numPr>
              <w:spacing w:before="80" w:after="80" w:line="240" w:lineRule="auto"/>
              <w:contextualSpacing/>
            </w:pPr>
            <w:r w:rsidRPr="00AC1FE9">
              <w:t>Triethylamine</w:t>
            </w:r>
          </w:p>
          <w:p w14:paraId="0DAE7370" w14:textId="50C396A5" w:rsidR="007B32E3" w:rsidRPr="00AC1FE9" w:rsidRDefault="00AC2282">
            <w:pPr>
              <w:pStyle w:val="Normal1"/>
              <w:widowControl w:val="0"/>
              <w:numPr>
                <w:ilvl w:val="1"/>
                <w:numId w:val="4"/>
              </w:numPr>
              <w:spacing w:before="80" w:after="80" w:line="240" w:lineRule="auto"/>
              <w:contextualSpacing/>
            </w:pPr>
            <w:r w:rsidRPr="00AC1FE9">
              <w:t>Dilute with water and mop up</w:t>
            </w:r>
            <w:r w:rsidR="00385637">
              <w:t>.</w:t>
            </w:r>
          </w:p>
          <w:p w14:paraId="788F3C31" w14:textId="7A7708B6" w:rsidR="007B32E3" w:rsidRPr="00AC1FE9" w:rsidRDefault="00AC2282">
            <w:pPr>
              <w:pStyle w:val="Normal1"/>
              <w:widowControl w:val="0"/>
              <w:numPr>
                <w:ilvl w:val="1"/>
                <w:numId w:val="4"/>
              </w:numPr>
              <w:spacing w:before="80" w:after="80" w:line="240" w:lineRule="auto"/>
              <w:contextualSpacing/>
            </w:pPr>
            <w:r w:rsidRPr="00AC1FE9">
              <w:t>If necessary, neutralize the residue with a dilute solution of acetic acid and finish by spreading water on the contaminated area</w:t>
            </w:r>
            <w:r w:rsidR="00385637">
              <w:t>.</w:t>
            </w:r>
          </w:p>
          <w:p w14:paraId="2A051FF5" w14:textId="141BAC3D" w:rsidR="007B32E3" w:rsidRPr="00AC1FE9" w:rsidRDefault="6647E6A1">
            <w:pPr>
              <w:pStyle w:val="Normal1"/>
              <w:widowControl w:val="0"/>
              <w:numPr>
                <w:ilvl w:val="0"/>
                <w:numId w:val="4"/>
              </w:numPr>
              <w:spacing w:before="80" w:after="80" w:line="240" w:lineRule="auto"/>
              <w:contextualSpacing/>
            </w:pPr>
            <w:r>
              <w:t>Hexane, Toluene</w:t>
            </w:r>
          </w:p>
          <w:p w14:paraId="21A7D319" w14:textId="439626FA" w:rsidR="007B32E3" w:rsidRDefault="00AC2282">
            <w:pPr>
              <w:pStyle w:val="Normal1"/>
              <w:widowControl w:val="0"/>
              <w:numPr>
                <w:ilvl w:val="1"/>
                <w:numId w:val="4"/>
              </w:numPr>
              <w:spacing w:before="80" w:after="80" w:line="240" w:lineRule="auto"/>
              <w:contextualSpacing/>
            </w:pPr>
            <w:r w:rsidRPr="00AC1FE9">
              <w:t>Absorb with an inert material and dispose is the proper waste disposal</w:t>
            </w:r>
            <w:r w:rsidR="00385637">
              <w:t>.</w:t>
            </w:r>
          </w:p>
        </w:tc>
      </w:tr>
      <w:tr w:rsidR="007B32E3" w14:paraId="3601FCCB" w14:textId="77777777" w:rsidTr="6647E6A1">
        <w:trPr>
          <w:trHeight w:val="420"/>
          <w:jc w:val="center"/>
        </w:trPr>
        <w:tc>
          <w:tcPr>
            <w:tcW w:w="10425" w:type="dxa"/>
            <w:shd w:val="clear" w:color="auto" w:fill="000E2F"/>
            <w:vAlign w:val="center"/>
          </w:tcPr>
          <w:p w14:paraId="21683690" w14:textId="77777777" w:rsidR="007B32E3" w:rsidRDefault="00AC2282" w:rsidP="00913D91">
            <w:pPr>
              <w:pStyle w:val="Heading1"/>
              <w:spacing w:before="0" w:line="240" w:lineRule="auto"/>
              <w:rPr>
                <w:b/>
                <w:sz w:val="24"/>
                <w:szCs w:val="24"/>
              </w:rPr>
            </w:pPr>
            <w:r>
              <w:rPr>
                <w:b/>
                <w:color w:val="FFFFFF"/>
                <w:sz w:val="24"/>
                <w:szCs w:val="24"/>
              </w:rPr>
              <w:lastRenderedPageBreak/>
              <w:t>SECTION 8 – FIRST AID PROCEDURES</w:t>
            </w:r>
          </w:p>
        </w:tc>
      </w:tr>
      <w:tr w:rsidR="007B32E3" w14:paraId="1D266A51" w14:textId="77777777" w:rsidTr="6647E6A1">
        <w:trPr>
          <w:trHeight w:val="4742"/>
          <w:jc w:val="center"/>
        </w:trPr>
        <w:tc>
          <w:tcPr>
            <w:tcW w:w="10425" w:type="dxa"/>
            <w:shd w:val="clear" w:color="auto" w:fill="FFFFFF" w:themeFill="background1"/>
            <w:vAlign w:val="center"/>
          </w:tcPr>
          <w:p w14:paraId="054BC05B" w14:textId="77777777" w:rsidR="00776D26" w:rsidRPr="00AC1FE9" w:rsidRDefault="00776D26" w:rsidP="00776D26">
            <w:pPr>
              <w:widowControl w:val="0"/>
              <w:spacing w:after="0" w:line="240" w:lineRule="auto"/>
              <w:rPr>
                <w:rFonts w:eastAsia="Times New Roman" w:cs="Aparajita"/>
                <w:i/>
                <w:snapToGrid w:val="0"/>
              </w:rPr>
            </w:pPr>
            <w:r w:rsidRPr="00AC1FE9">
              <w:rPr>
                <w:rFonts w:eastAsia="Times New Roman" w:cs="Aparajita"/>
                <w:i/>
                <w:snapToGrid w:val="0"/>
              </w:rPr>
              <w:t>Eyes</w:t>
            </w:r>
          </w:p>
          <w:p w14:paraId="461F16E9" w14:textId="77777777" w:rsidR="00776D26" w:rsidRPr="00AC1FE9" w:rsidRDefault="00776D26" w:rsidP="00776D26">
            <w:pPr>
              <w:pStyle w:val="ListParagraph"/>
              <w:widowControl w:val="0"/>
              <w:numPr>
                <w:ilvl w:val="0"/>
                <w:numId w:val="11"/>
              </w:numPr>
              <w:spacing w:after="0" w:line="240" w:lineRule="auto"/>
              <w:ind w:left="714" w:hanging="357"/>
              <w:rPr>
                <w:rFonts w:ascii="Calibri" w:eastAsia="Times New Roman" w:hAnsi="Calibri" w:cs="Aparajita"/>
                <w:snapToGrid w:val="0"/>
              </w:rPr>
            </w:pPr>
            <w:r w:rsidRPr="00AC1FE9">
              <w:rPr>
                <w:rFonts w:ascii="Calibri" w:eastAsia="Times New Roman" w:hAnsi="Calibri" w:cs="Aparajita"/>
                <w:snapToGrid w:val="0"/>
                <w:shd w:val="clear" w:color="auto" w:fill="FFFFFF"/>
              </w:rPr>
              <w:t xml:space="preserve">Immediately move to the eyewash station, hold eyelids open and flush </w:t>
            </w:r>
            <w:r w:rsidRPr="00AC1FE9">
              <w:rPr>
                <w:rFonts w:ascii="Calibri" w:eastAsia="Times New Roman" w:hAnsi="Calibri" w:cs="Aparajita"/>
                <w:snapToGrid w:val="0"/>
              </w:rPr>
              <w:t>with water. Remove contact lenses while flushing (if applicable)</w:t>
            </w:r>
          </w:p>
          <w:p w14:paraId="31BEB6CC" w14:textId="77777777" w:rsidR="00776D26" w:rsidRPr="00AC1FE9" w:rsidRDefault="00776D26" w:rsidP="00776D26">
            <w:pPr>
              <w:pStyle w:val="ListParagraph"/>
              <w:widowControl w:val="0"/>
              <w:numPr>
                <w:ilvl w:val="0"/>
                <w:numId w:val="11"/>
              </w:numPr>
              <w:spacing w:after="0" w:line="240" w:lineRule="auto"/>
              <w:ind w:left="714" w:hanging="357"/>
              <w:rPr>
                <w:rFonts w:ascii="Calibri" w:eastAsia="Times New Roman" w:hAnsi="Calibri" w:cs="Aparajita"/>
                <w:snapToGrid w:val="0"/>
              </w:rPr>
            </w:pPr>
            <w:r w:rsidRPr="00AC1FE9">
              <w:rPr>
                <w:rFonts w:ascii="Calibri" w:eastAsia="Times New Roman" w:hAnsi="Calibri" w:cs="Aparajita"/>
                <w:snapToGrid w:val="0"/>
              </w:rPr>
              <w:t xml:space="preserve">Have another person from the lab dial </w:t>
            </w:r>
            <w:r w:rsidRPr="00AC1FE9">
              <w:rPr>
                <w:rFonts w:ascii="Calibri" w:eastAsia="Times New Roman" w:hAnsi="Calibri" w:cs="Aparajita"/>
                <w:b/>
                <w:snapToGrid w:val="0"/>
              </w:rPr>
              <w:t xml:space="preserve">911 </w:t>
            </w:r>
            <w:r w:rsidRPr="00AC1FE9">
              <w:rPr>
                <w:rFonts w:ascii="Calibri" w:eastAsia="Times New Roman" w:hAnsi="Calibri" w:cs="Aparajita"/>
                <w:snapToGrid w:val="0"/>
              </w:rPr>
              <w:t>and mention specific solvent involved</w:t>
            </w:r>
          </w:p>
          <w:p w14:paraId="7C7774E4" w14:textId="77777777" w:rsidR="00776D26" w:rsidRPr="00AC1FE9" w:rsidRDefault="00776D26" w:rsidP="00776D26">
            <w:pPr>
              <w:pStyle w:val="ListParagraph"/>
              <w:widowControl w:val="0"/>
              <w:numPr>
                <w:ilvl w:val="0"/>
                <w:numId w:val="11"/>
              </w:numPr>
              <w:spacing w:after="0" w:line="240" w:lineRule="auto"/>
              <w:ind w:left="714" w:hanging="357"/>
              <w:rPr>
                <w:rFonts w:ascii="Calibri" w:eastAsia="Times New Roman" w:hAnsi="Calibri" w:cs="Aparajita"/>
                <w:snapToGrid w:val="0"/>
              </w:rPr>
            </w:pPr>
            <w:r w:rsidRPr="00AC1FE9">
              <w:rPr>
                <w:rFonts w:ascii="Calibri" w:eastAsia="Times New Roman" w:hAnsi="Calibri" w:cs="Aparajita"/>
                <w:snapToGrid w:val="0"/>
              </w:rPr>
              <w:t>Continue flushing the eyes until emergency personnel arrives</w:t>
            </w:r>
          </w:p>
          <w:p w14:paraId="0DCC454B" w14:textId="77777777" w:rsidR="00776D26" w:rsidRPr="00AC1FE9" w:rsidRDefault="00776D26" w:rsidP="00776D26">
            <w:pPr>
              <w:widowControl w:val="0"/>
              <w:spacing w:after="0" w:line="240" w:lineRule="auto"/>
              <w:rPr>
                <w:rFonts w:eastAsia="Times New Roman" w:cs="Aparajita"/>
                <w:i/>
                <w:snapToGrid w:val="0"/>
              </w:rPr>
            </w:pPr>
            <w:r w:rsidRPr="00AC1FE9">
              <w:rPr>
                <w:rFonts w:eastAsia="Times New Roman" w:cs="Aparajita"/>
                <w:i/>
                <w:snapToGrid w:val="0"/>
              </w:rPr>
              <w:t>Skin</w:t>
            </w:r>
          </w:p>
          <w:p w14:paraId="708B0876" w14:textId="77777777" w:rsidR="00776D26" w:rsidRPr="00AC1FE9" w:rsidRDefault="00776D26" w:rsidP="00776D26">
            <w:pPr>
              <w:pStyle w:val="ListParagraph"/>
              <w:widowControl w:val="0"/>
              <w:numPr>
                <w:ilvl w:val="0"/>
                <w:numId w:val="12"/>
              </w:numPr>
              <w:spacing w:after="0" w:line="240" w:lineRule="auto"/>
              <w:ind w:left="714" w:hanging="357"/>
              <w:rPr>
                <w:rFonts w:ascii="Calibri" w:eastAsia="Times New Roman" w:hAnsi="Calibri" w:cs="Aparajita"/>
                <w:snapToGrid w:val="0"/>
              </w:rPr>
            </w:pPr>
            <w:r w:rsidRPr="00AC1FE9">
              <w:rPr>
                <w:rFonts w:ascii="Calibri" w:eastAsia="Times New Roman" w:hAnsi="Calibri" w:cs="Aparajita"/>
                <w:snapToGrid w:val="0"/>
                <w:shd w:val="clear" w:color="auto" w:fill="FFFFFF"/>
              </w:rPr>
              <w:t xml:space="preserve">Immediately </w:t>
            </w:r>
            <w:r w:rsidRPr="00AC1FE9">
              <w:rPr>
                <w:rFonts w:ascii="Calibri" w:eastAsia="Times New Roman" w:hAnsi="Calibri" w:cs="Aparajita"/>
                <w:snapToGrid w:val="0"/>
              </w:rPr>
              <w:t xml:space="preserve">move to safety shower and begin rinsing affected area(s). Remove contaminated clothing (if applicable) while flushing. </w:t>
            </w:r>
          </w:p>
          <w:p w14:paraId="20D09C3E" w14:textId="77777777" w:rsidR="00776D26" w:rsidRPr="00AC1FE9" w:rsidRDefault="00776D26" w:rsidP="00776D26">
            <w:pPr>
              <w:pStyle w:val="ListParagraph"/>
              <w:widowControl w:val="0"/>
              <w:numPr>
                <w:ilvl w:val="0"/>
                <w:numId w:val="12"/>
              </w:numPr>
              <w:spacing w:after="0" w:line="240" w:lineRule="auto"/>
              <w:ind w:left="714" w:hanging="357"/>
              <w:rPr>
                <w:rFonts w:ascii="Calibri" w:eastAsia="Times New Roman" w:hAnsi="Calibri" w:cs="Aparajita"/>
                <w:snapToGrid w:val="0"/>
              </w:rPr>
            </w:pPr>
            <w:r w:rsidRPr="00AC1FE9">
              <w:rPr>
                <w:rFonts w:ascii="Calibri" w:eastAsia="Times New Roman" w:hAnsi="Calibri" w:cs="Aparajita"/>
                <w:snapToGrid w:val="0"/>
              </w:rPr>
              <w:t>You may use the safety shower in the washrooms, but never alone in an emergency situation</w:t>
            </w:r>
          </w:p>
          <w:p w14:paraId="7E06B649" w14:textId="77777777" w:rsidR="00776D26" w:rsidRPr="00AC1FE9" w:rsidRDefault="00776D26" w:rsidP="00776D26">
            <w:pPr>
              <w:pStyle w:val="ListParagraph"/>
              <w:widowControl w:val="0"/>
              <w:numPr>
                <w:ilvl w:val="0"/>
                <w:numId w:val="12"/>
              </w:numPr>
              <w:spacing w:after="0" w:line="240" w:lineRule="auto"/>
              <w:ind w:left="714" w:hanging="357"/>
              <w:rPr>
                <w:rFonts w:ascii="Calibri" w:eastAsia="Times New Roman" w:hAnsi="Calibri" w:cs="Aparajita"/>
                <w:snapToGrid w:val="0"/>
              </w:rPr>
            </w:pPr>
            <w:r w:rsidRPr="00AC1FE9">
              <w:rPr>
                <w:rFonts w:ascii="Calibri" w:eastAsia="Times New Roman" w:hAnsi="Calibri" w:cs="Aparajita"/>
                <w:snapToGrid w:val="0"/>
              </w:rPr>
              <w:t xml:space="preserve">Have another person from the lab dial </w:t>
            </w:r>
            <w:r w:rsidRPr="00AC1FE9">
              <w:rPr>
                <w:rFonts w:ascii="Calibri" w:eastAsia="Times New Roman" w:hAnsi="Calibri" w:cs="Aparajita"/>
                <w:b/>
                <w:snapToGrid w:val="0"/>
              </w:rPr>
              <w:t xml:space="preserve">911 </w:t>
            </w:r>
            <w:r w:rsidRPr="00AC1FE9">
              <w:rPr>
                <w:rFonts w:ascii="Calibri" w:eastAsia="Times New Roman" w:hAnsi="Calibri" w:cs="Aparajita"/>
                <w:snapToGrid w:val="0"/>
              </w:rPr>
              <w:t>if intense skin irritation is observed and mention specific solvent involved</w:t>
            </w:r>
          </w:p>
          <w:p w14:paraId="628BFE76" w14:textId="77777777" w:rsidR="00776D26" w:rsidRPr="00AC1FE9" w:rsidRDefault="00776D26" w:rsidP="00776D26">
            <w:pPr>
              <w:widowControl w:val="0"/>
              <w:spacing w:after="0" w:line="240" w:lineRule="auto"/>
              <w:rPr>
                <w:rFonts w:eastAsia="Times New Roman" w:cs="Aparajita"/>
                <w:i/>
                <w:snapToGrid w:val="0"/>
              </w:rPr>
            </w:pPr>
            <w:r w:rsidRPr="00AC1FE9">
              <w:rPr>
                <w:rFonts w:eastAsia="Times New Roman" w:cs="Aparajita"/>
                <w:i/>
                <w:snapToGrid w:val="0"/>
              </w:rPr>
              <w:t>Ingestion</w:t>
            </w:r>
          </w:p>
          <w:p w14:paraId="2FADDD18" w14:textId="77777777" w:rsidR="00776D26" w:rsidRPr="00AC1FE9" w:rsidRDefault="00776D26" w:rsidP="00776D26">
            <w:pPr>
              <w:widowControl w:val="0"/>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ind w:left="714" w:hanging="357"/>
              <w:contextualSpacing/>
              <w:rPr>
                <w:rFonts w:eastAsia="Times New Roman" w:cs="Aparajita"/>
                <w:snapToGrid w:val="0"/>
              </w:rPr>
            </w:pPr>
            <w:r w:rsidRPr="00AC1FE9">
              <w:t>Immediately rinse the mouth with cold water</w:t>
            </w:r>
          </w:p>
          <w:p w14:paraId="3C07AE99" w14:textId="77777777" w:rsidR="00776D26" w:rsidRPr="00AC1FE9" w:rsidRDefault="00776D26" w:rsidP="00776D26">
            <w:pPr>
              <w:widowControl w:val="0"/>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ind w:left="714" w:hanging="357"/>
              <w:contextualSpacing/>
              <w:rPr>
                <w:rFonts w:eastAsia="Times New Roman" w:cs="Aparajita"/>
                <w:bCs/>
                <w:snapToGrid w:val="0"/>
              </w:rPr>
            </w:pPr>
            <w:r w:rsidRPr="00AC1FE9">
              <w:rPr>
                <w:bCs/>
              </w:rPr>
              <w:t>Do NOT induce vomiting</w:t>
            </w:r>
          </w:p>
          <w:p w14:paraId="0DC1E4FF" w14:textId="77777777" w:rsidR="00776D26" w:rsidRPr="00AC1FE9" w:rsidRDefault="00776D26" w:rsidP="00776D26">
            <w:pPr>
              <w:widowControl w:val="0"/>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ind w:left="714" w:hanging="357"/>
              <w:contextualSpacing/>
              <w:rPr>
                <w:rFonts w:eastAsia="Times New Roman" w:cs="Aparajita"/>
                <w:bCs/>
                <w:snapToGrid w:val="0"/>
              </w:rPr>
            </w:pPr>
            <w:r w:rsidRPr="00AC1FE9">
              <w:t>Never give anything by mouth to an unconscious person. Loosen tight clothing such as a collar, tie, belt or waistband.</w:t>
            </w:r>
          </w:p>
          <w:p w14:paraId="627AD411" w14:textId="77777777" w:rsidR="007B32E3" w:rsidRPr="00776D26" w:rsidRDefault="00776D26" w:rsidP="00776D26">
            <w:pPr>
              <w:pStyle w:val="ListParagraph"/>
              <w:widowControl w:val="0"/>
              <w:numPr>
                <w:ilvl w:val="0"/>
                <w:numId w:val="13"/>
              </w:numPr>
              <w:spacing w:after="0" w:line="240" w:lineRule="auto"/>
              <w:ind w:left="714" w:hanging="357"/>
              <w:rPr>
                <w:rFonts w:eastAsia="Times New Roman" w:cs="Aparajita"/>
                <w:snapToGrid w:val="0"/>
              </w:rPr>
            </w:pPr>
            <w:r w:rsidRPr="00AC1FE9">
              <w:rPr>
                <w:rFonts w:ascii="Calibri" w:eastAsia="Times New Roman" w:hAnsi="Calibri" w:cs="Aparajita"/>
                <w:snapToGrid w:val="0"/>
              </w:rPr>
              <w:t xml:space="preserve">Have another person from the lab dial </w:t>
            </w:r>
            <w:r w:rsidRPr="00AC1FE9">
              <w:rPr>
                <w:rFonts w:ascii="Calibri" w:eastAsia="Times New Roman" w:hAnsi="Calibri" w:cs="Aparajita"/>
                <w:b/>
                <w:snapToGrid w:val="0"/>
              </w:rPr>
              <w:t xml:space="preserve">911 </w:t>
            </w:r>
            <w:r w:rsidRPr="00AC1FE9">
              <w:rPr>
                <w:rFonts w:ascii="Calibri" w:eastAsia="Times New Roman" w:hAnsi="Calibri" w:cs="Aparajita"/>
                <w:snapToGrid w:val="0"/>
              </w:rPr>
              <w:t>and specifically mention specific solvent involved</w:t>
            </w:r>
          </w:p>
        </w:tc>
      </w:tr>
      <w:tr w:rsidR="007B32E3" w14:paraId="7B586593" w14:textId="77777777" w:rsidTr="6647E6A1">
        <w:trPr>
          <w:trHeight w:val="420"/>
          <w:jc w:val="center"/>
        </w:trPr>
        <w:tc>
          <w:tcPr>
            <w:tcW w:w="10425" w:type="dxa"/>
            <w:shd w:val="clear" w:color="auto" w:fill="000E2F"/>
            <w:vAlign w:val="center"/>
          </w:tcPr>
          <w:p w14:paraId="65C96C9B" w14:textId="77777777" w:rsidR="007B32E3" w:rsidRDefault="00AC2282" w:rsidP="00913D91">
            <w:pPr>
              <w:pStyle w:val="Heading1"/>
              <w:spacing w:before="0" w:line="240" w:lineRule="auto"/>
              <w:rPr>
                <w:b/>
                <w:sz w:val="24"/>
                <w:szCs w:val="24"/>
              </w:rPr>
            </w:pPr>
            <w:r>
              <w:rPr>
                <w:b/>
                <w:color w:val="FFFFFF"/>
                <w:sz w:val="24"/>
                <w:szCs w:val="24"/>
              </w:rPr>
              <w:t>SECTION 9 – WASTE MANAGEMENT</w:t>
            </w:r>
          </w:p>
        </w:tc>
      </w:tr>
      <w:tr w:rsidR="007B32E3" w14:paraId="6B1DA340" w14:textId="77777777" w:rsidTr="00CA2D4E">
        <w:trPr>
          <w:trHeight w:val="1601"/>
          <w:jc w:val="center"/>
        </w:trPr>
        <w:tc>
          <w:tcPr>
            <w:tcW w:w="10425" w:type="dxa"/>
            <w:shd w:val="clear" w:color="auto" w:fill="FFFFFF" w:themeFill="background1"/>
            <w:vAlign w:val="center"/>
          </w:tcPr>
          <w:p w14:paraId="093DAE7E" w14:textId="77777777" w:rsidR="00776D26" w:rsidRPr="00416441" w:rsidRDefault="00776D26" w:rsidP="00416441">
            <w:pPr>
              <w:pStyle w:val="ListParagraph"/>
              <w:widowControl w:val="0"/>
              <w:numPr>
                <w:ilvl w:val="0"/>
                <w:numId w:val="9"/>
              </w:numPr>
              <w:spacing w:before="80" w:after="80" w:line="240" w:lineRule="auto"/>
              <w:rPr>
                <w:rFonts w:ascii="Calibri" w:eastAsia="Times New Roman" w:hAnsi="Calibri" w:cs="Aparajita"/>
                <w:snapToGrid w:val="0"/>
              </w:rPr>
            </w:pPr>
            <w:r w:rsidRPr="00416441">
              <w:rPr>
                <w:rFonts w:ascii="Calibri" w:eastAsia="Times New Roman" w:hAnsi="Calibri" w:cs="Aparajita"/>
                <w:snapToGrid w:val="0"/>
              </w:rPr>
              <w:t>All waste must be labeled with “Hazardous Waste” stickers or tags, use full chemical names to describe the waste (i.e., no chemical abbreviations or symbols), be stored in sturdy containers with tight-fitting caps or lids, and be stored alone or with other compatible chemicals</w:t>
            </w:r>
          </w:p>
          <w:p w14:paraId="1E5BD571" w14:textId="77777777" w:rsidR="00776D26" w:rsidRPr="00416441" w:rsidRDefault="00776D26" w:rsidP="00776D26">
            <w:pPr>
              <w:pStyle w:val="ListParagraph"/>
              <w:widowControl w:val="0"/>
              <w:numPr>
                <w:ilvl w:val="0"/>
                <w:numId w:val="9"/>
              </w:numPr>
              <w:spacing w:before="80" w:after="80" w:line="240" w:lineRule="auto"/>
              <w:rPr>
                <w:rStyle w:val="Hyperlink"/>
                <w:rFonts w:ascii="Calibri" w:eastAsia="Times New Roman" w:hAnsi="Calibri" w:cs="Aparajita"/>
                <w:snapToGrid w:val="0"/>
                <w:color w:val="auto"/>
                <w:u w:val="none"/>
              </w:rPr>
            </w:pPr>
            <w:r w:rsidRPr="00416441">
              <w:rPr>
                <w:rFonts w:ascii="Calibri" w:eastAsia="Times New Roman" w:hAnsi="Calibri" w:cs="Aparajita"/>
                <w:snapToGrid w:val="0"/>
              </w:rPr>
              <w:t xml:space="preserve">Hazardous wastes must be stored at or near a green “Satellite Accumulation Area” sign prior to disposal by EHS. Once the containers are 80% filled, fill our EH&amp;S chemical </w:t>
            </w:r>
            <w:hyperlink r:id="rId10" w:history="1">
              <w:r w:rsidRPr="00416441">
                <w:rPr>
                  <w:rStyle w:val="Hyperlink"/>
                  <w:rFonts w:ascii="Calibri" w:eastAsia="Times New Roman" w:hAnsi="Calibri" w:cs="Aparajita"/>
                  <w:snapToGrid w:val="0"/>
                </w:rPr>
                <w:t>waste pickup form</w:t>
              </w:r>
            </w:hyperlink>
          </w:p>
          <w:p w14:paraId="44181655" w14:textId="77777777" w:rsidR="007B32E3" w:rsidRPr="00776D26" w:rsidRDefault="00776D26" w:rsidP="00776D26">
            <w:pPr>
              <w:pStyle w:val="ListParagraph"/>
              <w:widowControl w:val="0"/>
              <w:numPr>
                <w:ilvl w:val="0"/>
                <w:numId w:val="9"/>
              </w:numPr>
              <w:spacing w:before="80" w:after="80" w:line="240" w:lineRule="auto"/>
              <w:rPr>
                <w:rFonts w:eastAsia="Times New Roman" w:cs="Aparajita"/>
                <w:snapToGrid w:val="0"/>
              </w:rPr>
            </w:pPr>
            <w:r w:rsidRPr="00416441">
              <w:rPr>
                <w:rFonts w:ascii="Calibri" w:eastAsia="Times New Roman" w:hAnsi="Calibri" w:cs="Aparajita"/>
                <w:snapToGrid w:val="0"/>
              </w:rPr>
              <w:t xml:space="preserve">The </w:t>
            </w:r>
            <w:hyperlink r:id="rId11" w:history="1">
              <w:r w:rsidRPr="00416441">
                <w:rPr>
                  <w:rStyle w:val="Hyperlink"/>
                  <w:rFonts w:ascii="Calibri" w:eastAsia="Times New Roman" w:hAnsi="Calibri" w:cs="Aparajita"/>
                  <w:snapToGrid w:val="0"/>
                </w:rPr>
                <w:t>Chemical Waste Disposal Manual</w:t>
              </w:r>
            </w:hyperlink>
            <w:r w:rsidRPr="00416441">
              <w:rPr>
                <w:rFonts w:ascii="Calibri" w:eastAsia="Times New Roman" w:hAnsi="Calibri" w:cs="Aparajita"/>
                <w:snapToGrid w:val="0"/>
              </w:rPr>
              <w:t xml:space="preserve"> must be used as a reference</w:t>
            </w:r>
          </w:p>
        </w:tc>
      </w:tr>
      <w:tr w:rsidR="007B32E3" w14:paraId="657E6821" w14:textId="77777777" w:rsidTr="003F6C21">
        <w:trPr>
          <w:trHeight w:val="242"/>
          <w:jc w:val="center"/>
        </w:trPr>
        <w:tc>
          <w:tcPr>
            <w:tcW w:w="10425" w:type="dxa"/>
            <w:shd w:val="clear" w:color="auto" w:fill="000E2F"/>
            <w:vAlign w:val="center"/>
          </w:tcPr>
          <w:p w14:paraId="6B0CCF6D" w14:textId="7963E6A4" w:rsidR="00CA2D4E" w:rsidRPr="00CA2D4E" w:rsidRDefault="00AC2282" w:rsidP="00913D91">
            <w:pPr>
              <w:pStyle w:val="Heading1"/>
              <w:spacing w:before="0"/>
              <w:rPr>
                <w:b/>
                <w:color w:val="F2F2F2"/>
                <w:sz w:val="24"/>
                <w:szCs w:val="24"/>
              </w:rPr>
            </w:pPr>
            <w:r>
              <w:rPr>
                <w:b/>
                <w:color w:val="F2F2F2"/>
                <w:sz w:val="24"/>
                <w:szCs w:val="24"/>
              </w:rPr>
              <w:t>SECTION 10 – DECONTAMINATION PROCEDURES</w:t>
            </w:r>
          </w:p>
        </w:tc>
      </w:tr>
      <w:tr w:rsidR="007B32E3" w14:paraId="3336D660" w14:textId="77777777" w:rsidTr="00913D91">
        <w:trPr>
          <w:trHeight w:val="359"/>
          <w:jc w:val="center"/>
        </w:trPr>
        <w:tc>
          <w:tcPr>
            <w:tcW w:w="10425" w:type="dxa"/>
            <w:shd w:val="clear" w:color="auto" w:fill="FFFFFF" w:themeFill="background1"/>
            <w:vAlign w:val="center"/>
          </w:tcPr>
          <w:p w14:paraId="3D6DAA9B" w14:textId="77777777" w:rsidR="007B32E3" w:rsidRDefault="00776D26">
            <w:pPr>
              <w:pStyle w:val="Normal1"/>
              <w:widowControl w:val="0"/>
              <w:spacing w:before="80" w:after="80" w:line="240" w:lineRule="auto"/>
            </w:pPr>
            <w:r>
              <w:t>N/A</w:t>
            </w:r>
          </w:p>
        </w:tc>
      </w:tr>
      <w:tr w:rsidR="007B32E3" w14:paraId="5729FC61" w14:textId="77777777" w:rsidTr="00747385">
        <w:trPr>
          <w:trHeight w:val="368"/>
          <w:jc w:val="center"/>
        </w:trPr>
        <w:tc>
          <w:tcPr>
            <w:tcW w:w="10425" w:type="dxa"/>
            <w:shd w:val="clear" w:color="auto" w:fill="000E2F"/>
            <w:vAlign w:val="center"/>
          </w:tcPr>
          <w:p w14:paraId="59CAE116" w14:textId="77777777" w:rsidR="007B32E3" w:rsidRDefault="00AC2282" w:rsidP="00913D91">
            <w:pPr>
              <w:pStyle w:val="Heading1"/>
              <w:spacing w:before="0"/>
              <w:rPr>
                <w:b/>
                <w:sz w:val="24"/>
                <w:szCs w:val="24"/>
              </w:rPr>
            </w:pPr>
            <w:r>
              <w:rPr>
                <w:b/>
                <w:color w:val="FFFFFF"/>
                <w:sz w:val="24"/>
                <w:szCs w:val="24"/>
              </w:rPr>
              <w:t>SECTION 11 – SPECIFIC PROCEDURE</w:t>
            </w:r>
          </w:p>
        </w:tc>
      </w:tr>
      <w:tr w:rsidR="007B32E3" w14:paraId="7BE4F3D3" w14:textId="77777777" w:rsidTr="6647E6A1">
        <w:trPr>
          <w:trHeight w:val="420"/>
          <w:jc w:val="center"/>
        </w:trPr>
        <w:tc>
          <w:tcPr>
            <w:tcW w:w="10425" w:type="dxa"/>
            <w:shd w:val="clear" w:color="auto" w:fill="FFFFFF" w:themeFill="background1"/>
            <w:vAlign w:val="center"/>
          </w:tcPr>
          <w:p w14:paraId="00C40AF4" w14:textId="77777777" w:rsidR="007B32E3" w:rsidRDefault="00776D26">
            <w:pPr>
              <w:pStyle w:val="Normal1"/>
              <w:widowControl w:val="0"/>
              <w:spacing w:before="80" w:after="80" w:line="240" w:lineRule="auto"/>
            </w:pPr>
            <w:r>
              <w:t>N/A</w:t>
            </w:r>
          </w:p>
        </w:tc>
      </w:tr>
    </w:tbl>
    <w:p w14:paraId="196AE6E8" w14:textId="77777777" w:rsidR="007B32E3" w:rsidRDefault="00AC2282" w:rsidP="00C4467E">
      <w:pPr>
        <w:pStyle w:val="Normal1"/>
        <w:ind w:right="-540"/>
        <w:jc w:val="center"/>
      </w:pPr>
      <w:r>
        <w:br w:type="page"/>
      </w:r>
    </w:p>
    <w:tbl>
      <w:tblPr>
        <w:tblStyle w:val="a0"/>
        <w:tblW w:w="10440"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
        <w:gridCol w:w="5376"/>
        <w:gridCol w:w="2449"/>
        <w:gridCol w:w="12"/>
        <w:gridCol w:w="2353"/>
      </w:tblGrid>
      <w:tr w:rsidR="00747385" w14:paraId="032650C6" w14:textId="77777777" w:rsidTr="00747385">
        <w:trPr>
          <w:trHeight w:val="416"/>
        </w:trPr>
        <w:tc>
          <w:tcPr>
            <w:tcW w:w="250" w:type="dxa"/>
          </w:tcPr>
          <w:p w14:paraId="35291E09" w14:textId="77777777" w:rsidR="007B32E3" w:rsidRDefault="007B32E3" w:rsidP="00913D91">
            <w:pPr>
              <w:pStyle w:val="Normal1"/>
              <w:widowControl w:val="0"/>
              <w:spacing w:after="0" w:line="240" w:lineRule="auto"/>
            </w:pPr>
          </w:p>
        </w:tc>
        <w:tc>
          <w:tcPr>
            <w:tcW w:w="10190" w:type="dxa"/>
            <w:gridSpan w:val="4"/>
            <w:shd w:val="clear" w:color="auto" w:fill="000E2F"/>
            <w:vAlign w:val="center"/>
          </w:tcPr>
          <w:p w14:paraId="05720B40" w14:textId="77777777" w:rsidR="007B32E3" w:rsidRDefault="00AC2282" w:rsidP="00913D91">
            <w:pPr>
              <w:pStyle w:val="Normal1"/>
              <w:widowControl w:val="0"/>
              <w:spacing w:after="0" w:line="240" w:lineRule="auto"/>
              <w:ind w:left="-387" w:firstLine="387"/>
              <w:rPr>
                <w:sz w:val="24"/>
                <w:szCs w:val="24"/>
              </w:rPr>
            </w:pPr>
            <w:r>
              <w:rPr>
                <w:b/>
                <w:color w:val="FFFFFF"/>
                <w:sz w:val="24"/>
                <w:szCs w:val="24"/>
              </w:rPr>
              <w:t>SECTION 12A.     APPROVAL</w:t>
            </w:r>
          </w:p>
        </w:tc>
      </w:tr>
      <w:tr w:rsidR="00747385" w14:paraId="0D3076DB" w14:textId="77777777" w:rsidTr="00747385">
        <w:trPr>
          <w:trHeight w:val="416"/>
        </w:trPr>
        <w:tc>
          <w:tcPr>
            <w:tcW w:w="10440" w:type="dxa"/>
            <w:gridSpan w:val="5"/>
          </w:tcPr>
          <w:p w14:paraId="34F3A3A3" w14:textId="77777777" w:rsidR="00C4467E" w:rsidRDefault="00C4467E">
            <w:pPr>
              <w:pStyle w:val="Normal1"/>
              <w:widowControl w:val="0"/>
              <w:spacing w:before="80" w:after="80" w:line="240" w:lineRule="auto"/>
            </w:pPr>
            <w:r>
              <w:t>I have reviewed, understand and agree to follow this lab-specific standard operating procedure (LSOP)</w:t>
            </w:r>
            <w:r>
              <w:rPr>
                <w:i/>
              </w:rPr>
              <w:t xml:space="preserve">. </w:t>
            </w:r>
            <w:r>
              <w:t xml:space="preserve">Failure to follow this LSOP or lab-specific training guidelines is a violation of the </w:t>
            </w:r>
            <w:hyperlink r:id="rId12">
              <w:r>
                <w:rPr>
                  <w:i/>
                  <w:color w:val="0563C1"/>
                  <w:u w:val="single"/>
                </w:rPr>
                <w:t>University Health &amp; Safety Policy</w:t>
              </w:r>
            </w:hyperlink>
            <w:r>
              <w:t xml:space="preserve"> and </w:t>
            </w:r>
            <w:hyperlink r:id="rId13">
              <w:r>
                <w:rPr>
                  <w:i/>
                  <w:color w:val="0563C1"/>
                  <w:u w:val="single"/>
                </w:rPr>
                <w:t>University Code of Conduct</w:t>
              </w:r>
            </w:hyperlink>
            <w:r>
              <w:t>.</w:t>
            </w:r>
          </w:p>
          <w:p w14:paraId="01D9864D" w14:textId="77777777" w:rsidR="00C4467E" w:rsidRDefault="00C4467E">
            <w:pPr>
              <w:pStyle w:val="Normal1"/>
              <w:widowControl w:val="0"/>
              <w:spacing w:before="80" w:after="80" w:line="240" w:lineRule="auto"/>
            </w:pPr>
            <w:r>
              <w:t>Further approval and/or review of this LSOP by the PI/Supervisor is required if any of the following events occur:</w:t>
            </w:r>
          </w:p>
          <w:p w14:paraId="1101E289" w14:textId="77777777" w:rsidR="00C4467E" w:rsidRDefault="00C4467E">
            <w:pPr>
              <w:pStyle w:val="Normal1"/>
              <w:widowControl w:val="0"/>
              <w:numPr>
                <w:ilvl w:val="0"/>
                <w:numId w:val="1"/>
              </w:numPr>
              <w:shd w:val="clear" w:color="auto" w:fill="FFFFFF"/>
              <w:spacing w:after="0" w:line="240" w:lineRule="auto"/>
              <w:contextualSpacing/>
            </w:pPr>
            <w:r>
              <w:t>A significant change in amount (i.e., doubling of the scale of reaction) or substitution of the chemicals in the procedure is planned</w:t>
            </w:r>
          </w:p>
          <w:p w14:paraId="105C5BD8" w14:textId="77777777" w:rsidR="00C4467E" w:rsidRDefault="00C4467E">
            <w:pPr>
              <w:pStyle w:val="Normal1"/>
              <w:widowControl w:val="0"/>
              <w:numPr>
                <w:ilvl w:val="0"/>
                <w:numId w:val="1"/>
              </w:numPr>
              <w:shd w:val="clear" w:color="auto" w:fill="FFFFFF"/>
              <w:spacing w:after="0" w:line="240" w:lineRule="auto"/>
            </w:pPr>
            <w:r>
              <w:t>A major change in the agreed-upon experimental set-up is planned (heating instead of room temp, etc.)</w:t>
            </w:r>
          </w:p>
          <w:p w14:paraId="423C2F2E" w14:textId="77777777" w:rsidR="00C4467E" w:rsidRDefault="00C4467E">
            <w:pPr>
              <w:pStyle w:val="Normal1"/>
              <w:widowControl w:val="0"/>
              <w:numPr>
                <w:ilvl w:val="0"/>
                <w:numId w:val="1"/>
              </w:numPr>
              <w:shd w:val="clear" w:color="auto" w:fill="FFFFFF"/>
              <w:spacing w:after="0" w:line="240" w:lineRule="auto"/>
            </w:pPr>
            <w:r>
              <w:t>Any signs of a failure in safety design or equipment are observed</w:t>
            </w:r>
          </w:p>
          <w:p w14:paraId="19EADD04" w14:textId="77777777" w:rsidR="00C4467E" w:rsidRDefault="00C4467E">
            <w:pPr>
              <w:pStyle w:val="Normal1"/>
              <w:widowControl w:val="0"/>
              <w:numPr>
                <w:ilvl w:val="0"/>
                <w:numId w:val="1"/>
              </w:numPr>
              <w:shd w:val="clear" w:color="auto" w:fill="FFFFFF"/>
              <w:spacing w:after="0" w:line="240" w:lineRule="auto"/>
              <w:contextualSpacing/>
            </w:pPr>
            <w:r>
              <w:t>Any signs or symptoms of a chemical exposure to any personnel are observed</w:t>
            </w:r>
          </w:p>
          <w:p w14:paraId="622DAC1B" w14:textId="77777777" w:rsidR="00C4467E" w:rsidRDefault="00C4467E">
            <w:pPr>
              <w:pStyle w:val="Normal1"/>
              <w:widowControl w:val="0"/>
              <w:numPr>
                <w:ilvl w:val="0"/>
                <w:numId w:val="1"/>
              </w:numPr>
              <w:shd w:val="clear" w:color="auto" w:fill="FFFFFF"/>
              <w:spacing w:after="0" w:line="240" w:lineRule="auto"/>
              <w:contextualSpacing/>
            </w:pPr>
            <w:r>
              <w:t xml:space="preserve">Unexpected and/or potentially dangerous experimental results occur (e.g., fire, </w:t>
            </w:r>
            <w:r>
              <w:rPr>
                <w:highlight w:val="white"/>
              </w:rPr>
              <w:t>uncontrolled buildup of heat and/or pressure,</w:t>
            </w:r>
            <w:r>
              <w:t xml:space="preserve"> etc.)</w:t>
            </w:r>
            <w:r>
              <w:br/>
            </w:r>
          </w:p>
        </w:tc>
      </w:tr>
      <w:tr w:rsidR="00747385" w14:paraId="28BC3A35" w14:textId="77777777" w:rsidTr="00747385">
        <w:trPr>
          <w:trHeight w:val="614"/>
        </w:trPr>
        <w:tc>
          <w:tcPr>
            <w:tcW w:w="5626" w:type="dxa"/>
            <w:gridSpan w:val="2"/>
          </w:tcPr>
          <w:p w14:paraId="6999D544" w14:textId="77777777" w:rsidR="00C4467E" w:rsidRDefault="00C4467E">
            <w:pPr>
              <w:pStyle w:val="Normal1"/>
              <w:widowControl w:val="0"/>
              <w:spacing w:after="0" w:line="240" w:lineRule="auto"/>
              <w:jc w:val="center"/>
              <w:rPr>
                <w:b/>
                <w:sz w:val="24"/>
                <w:szCs w:val="24"/>
              </w:rPr>
            </w:pPr>
            <w:r>
              <w:rPr>
                <w:b/>
                <w:sz w:val="24"/>
                <w:szCs w:val="24"/>
              </w:rPr>
              <w:t>Researcher Name/Signature</w:t>
            </w:r>
          </w:p>
        </w:tc>
        <w:tc>
          <w:tcPr>
            <w:tcW w:w="2449" w:type="dxa"/>
            <w:shd w:val="clear" w:color="auto" w:fill="D9D9D9"/>
            <w:vAlign w:val="center"/>
          </w:tcPr>
          <w:p w14:paraId="4D977D3A" w14:textId="77777777" w:rsidR="00C4467E" w:rsidRDefault="00C4467E">
            <w:pPr>
              <w:pStyle w:val="Normal1"/>
              <w:widowControl w:val="0"/>
              <w:spacing w:after="0" w:line="240" w:lineRule="auto"/>
              <w:jc w:val="center"/>
              <w:rPr>
                <w:b/>
                <w:sz w:val="24"/>
                <w:szCs w:val="24"/>
              </w:rPr>
            </w:pPr>
            <w:r>
              <w:rPr>
                <w:b/>
                <w:sz w:val="24"/>
                <w:szCs w:val="24"/>
              </w:rPr>
              <w:t>Trainer Name/Signature</w:t>
            </w:r>
          </w:p>
        </w:tc>
        <w:tc>
          <w:tcPr>
            <w:tcW w:w="2365" w:type="dxa"/>
            <w:gridSpan w:val="2"/>
            <w:shd w:val="clear" w:color="auto" w:fill="D9D9D9"/>
            <w:vAlign w:val="center"/>
          </w:tcPr>
          <w:p w14:paraId="47ABE6A6" w14:textId="77777777" w:rsidR="00C4467E" w:rsidRDefault="00C4467E">
            <w:pPr>
              <w:pStyle w:val="Normal1"/>
              <w:widowControl w:val="0"/>
              <w:spacing w:after="0" w:line="240" w:lineRule="auto"/>
              <w:jc w:val="center"/>
              <w:rPr>
                <w:b/>
                <w:sz w:val="24"/>
                <w:szCs w:val="24"/>
              </w:rPr>
            </w:pPr>
            <w:r>
              <w:rPr>
                <w:b/>
                <w:sz w:val="24"/>
                <w:szCs w:val="24"/>
              </w:rPr>
              <w:t>Training Date</w:t>
            </w:r>
          </w:p>
        </w:tc>
      </w:tr>
      <w:tr w:rsidR="00747385" w14:paraId="2C7F4EA9" w14:textId="77777777" w:rsidTr="00747385">
        <w:trPr>
          <w:trHeight w:val="714"/>
        </w:trPr>
        <w:tc>
          <w:tcPr>
            <w:tcW w:w="5626" w:type="dxa"/>
            <w:gridSpan w:val="2"/>
          </w:tcPr>
          <w:p w14:paraId="405E9343" w14:textId="77777777" w:rsidR="00C4467E" w:rsidRDefault="00C4467E">
            <w:pPr>
              <w:pStyle w:val="Normal1"/>
              <w:widowControl w:val="0"/>
              <w:spacing w:after="0" w:line="240" w:lineRule="auto"/>
            </w:pPr>
          </w:p>
        </w:tc>
        <w:tc>
          <w:tcPr>
            <w:tcW w:w="2449" w:type="dxa"/>
            <w:shd w:val="clear" w:color="auto" w:fill="FFFFFF"/>
            <w:vAlign w:val="center"/>
          </w:tcPr>
          <w:p w14:paraId="0744469D" w14:textId="77777777" w:rsidR="00C4467E" w:rsidRDefault="00C4467E">
            <w:pPr>
              <w:pStyle w:val="Normal1"/>
              <w:widowControl w:val="0"/>
              <w:spacing w:after="0" w:line="240" w:lineRule="auto"/>
            </w:pPr>
          </w:p>
        </w:tc>
        <w:tc>
          <w:tcPr>
            <w:tcW w:w="2365" w:type="dxa"/>
            <w:gridSpan w:val="2"/>
            <w:shd w:val="clear" w:color="auto" w:fill="FFFFFF"/>
            <w:vAlign w:val="center"/>
          </w:tcPr>
          <w:p w14:paraId="61559D45" w14:textId="77777777" w:rsidR="00C4467E" w:rsidRDefault="00C4467E">
            <w:pPr>
              <w:pStyle w:val="Normal1"/>
              <w:widowControl w:val="0"/>
              <w:spacing w:after="0" w:line="240" w:lineRule="auto"/>
            </w:pPr>
          </w:p>
        </w:tc>
      </w:tr>
      <w:tr w:rsidR="00747385" w14:paraId="180155DF" w14:textId="77777777" w:rsidTr="00747385">
        <w:trPr>
          <w:trHeight w:val="714"/>
        </w:trPr>
        <w:tc>
          <w:tcPr>
            <w:tcW w:w="5626" w:type="dxa"/>
            <w:gridSpan w:val="2"/>
          </w:tcPr>
          <w:p w14:paraId="41C1DFBE" w14:textId="77777777" w:rsidR="00C4467E" w:rsidRDefault="00C4467E" w:rsidP="008E4E77">
            <w:pPr>
              <w:pStyle w:val="Normal1"/>
              <w:widowControl w:val="0"/>
              <w:tabs>
                <w:tab w:val="left" w:pos="0"/>
              </w:tabs>
              <w:spacing w:after="0" w:line="240" w:lineRule="auto"/>
            </w:pPr>
          </w:p>
        </w:tc>
        <w:tc>
          <w:tcPr>
            <w:tcW w:w="2449" w:type="dxa"/>
            <w:shd w:val="clear" w:color="auto" w:fill="FFFFFF"/>
            <w:vAlign w:val="center"/>
          </w:tcPr>
          <w:p w14:paraId="45B1654C" w14:textId="77777777" w:rsidR="00C4467E" w:rsidRDefault="00C4467E">
            <w:pPr>
              <w:pStyle w:val="Normal1"/>
              <w:widowControl w:val="0"/>
              <w:spacing w:after="0" w:line="240" w:lineRule="auto"/>
            </w:pPr>
          </w:p>
        </w:tc>
        <w:tc>
          <w:tcPr>
            <w:tcW w:w="2365" w:type="dxa"/>
            <w:gridSpan w:val="2"/>
            <w:shd w:val="clear" w:color="auto" w:fill="FFFFFF"/>
            <w:vAlign w:val="center"/>
          </w:tcPr>
          <w:p w14:paraId="4187F651" w14:textId="77777777" w:rsidR="00C4467E" w:rsidRDefault="00C4467E">
            <w:pPr>
              <w:pStyle w:val="Normal1"/>
              <w:widowControl w:val="0"/>
              <w:spacing w:after="0" w:line="240" w:lineRule="auto"/>
            </w:pPr>
          </w:p>
        </w:tc>
      </w:tr>
      <w:tr w:rsidR="00747385" w14:paraId="051891B3" w14:textId="77777777" w:rsidTr="00747385">
        <w:trPr>
          <w:trHeight w:val="714"/>
        </w:trPr>
        <w:tc>
          <w:tcPr>
            <w:tcW w:w="5626" w:type="dxa"/>
            <w:gridSpan w:val="2"/>
          </w:tcPr>
          <w:p w14:paraId="1734A124" w14:textId="77777777" w:rsidR="00C4467E" w:rsidRDefault="00C4467E">
            <w:pPr>
              <w:pStyle w:val="Normal1"/>
              <w:widowControl w:val="0"/>
              <w:spacing w:after="0" w:line="240" w:lineRule="auto"/>
            </w:pPr>
          </w:p>
        </w:tc>
        <w:tc>
          <w:tcPr>
            <w:tcW w:w="2449" w:type="dxa"/>
            <w:shd w:val="clear" w:color="auto" w:fill="FFFFFF"/>
            <w:vAlign w:val="center"/>
          </w:tcPr>
          <w:p w14:paraId="59169554" w14:textId="77777777" w:rsidR="00C4467E" w:rsidRDefault="00C4467E">
            <w:pPr>
              <w:pStyle w:val="Normal1"/>
              <w:widowControl w:val="0"/>
              <w:spacing w:after="0" w:line="240" w:lineRule="auto"/>
            </w:pPr>
          </w:p>
        </w:tc>
        <w:tc>
          <w:tcPr>
            <w:tcW w:w="2365" w:type="dxa"/>
            <w:gridSpan w:val="2"/>
            <w:shd w:val="clear" w:color="auto" w:fill="FFFFFF"/>
            <w:vAlign w:val="center"/>
          </w:tcPr>
          <w:p w14:paraId="526B9AA5" w14:textId="77777777" w:rsidR="00C4467E" w:rsidRDefault="00C4467E">
            <w:pPr>
              <w:pStyle w:val="Normal1"/>
              <w:widowControl w:val="0"/>
              <w:spacing w:after="0" w:line="240" w:lineRule="auto"/>
            </w:pPr>
          </w:p>
        </w:tc>
      </w:tr>
      <w:tr w:rsidR="00747385" w14:paraId="44C23D49" w14:textId="77777777" w:rsidTr="00747385">
        <w:trPr>
          <w:trHeight w:val="714"/>
        </w:trPr>
        <w:tc>
          <w:tcPr>
            <w:tcW w:w="5626" w:type="dxa"/>
            <w:gridSpan w:val="2"/>
          </w:tcPr>
          <w:p w14:paraId="26CE0386" w14:textId="77777777" w:rsidR="00C4467E" w:rsidRDefault="00C4467E">
            <w:pPr>
              <w:pStyle w:val="Normal1"/>
              <w:widowControl w:val="0"/>
              <w:spacing w:after="0" w:line="240" w:lineRule="auto"/>
            </w:pPr>
          </w:p>
        </w:tc>
        <w:tc>
          <w:tcPr>
            <w:tcW w:w="2449" w:type="dxa"/>
            <w:shd w:val="clear" w:color="auto" w:fill="FFFFFF"/>
            <w:vAlign w:val="center"/>
          </w:tcPr>
          <w:p w14:paraId="4869E8BF" w14:textId="77777777" w:rsidR="00C4467E" w:rsidRDefault="00C4467E">
            <w:pPr>
              <w:pStyle w:val="Normal1"/>
              <w:widowControl w:val="0"/>
              <w:spacing w:after="0" w:line="240" w:lineRule="auto"/>
            </w:pPr>
          </w:p>
        </w:tc>
        <w:tc>
          <w:tcPr>
            <w:tcW w:w="2365" w:type="dxa"/>
            <w:gridSpan w:val="2"/>
            <w:shd w:val="clear" w:color="auto" w:fill="FFFFFF"/>
            <w:vAlign w:val="center"/>
          </w:tcPr>
          <w:p w14:paraId="2212C2A7" w14:textId="77777777" w:rsidR="00C4467E" w:rsidRDefault="00C4467E">
            <w:pPr>
              <w:pStyle w:val="Normal1"/>
              <w:widowControl w:val="0"/>
              <w:spacing w:after="0" w:line="240" w:lineRule="auto"/>
            </w:pPr>
          </w:p>
        </w:tc>
      </w:tr>
      <w:tr w:rsidR="00747385" w14:paraId="7A5349D7" w14:textId="77777777" w:rsidTr="00747385">
        <w:trPr>
          <w:trHeight w:val="714"/>
        </w:trPr>
        <w:tc>
          <w:tcPr>
            <w:tcW w:w="5626" w:type="dxa"/>
            <w:gridSpan w:val="2"/>
          </w:tcPr>
          <w:p w14:paraId="60F84595" w14:textId="77777777" w:rsidR="00C4467E" w:rsidRDefault="00C4467E" w:rsidP="008E4E77">
            <w:pPr>
              <w:pStyle w:val="Normal1"/>
              <w:widowControl w:val="0"/>
              <w:tabs>
                <w:tab w:val="left" w:pos="0"/>
                <w:tab w:val="left" w:pos="329"/>
              </w:tabs>
              <w:spacing w:after="0" w:line="240" w:lineRule="auto"/>
            </w:pPr>
          </w:p>
        </w:tc>
        <w:tc>
          <w:tcPr>
            <w:tcW w:w="2449" w:type="dxa"/>
            <w:shd w:val="clear" w:color="auto" w:fill="FFFFFF"/>
            <w:vAlign w:val="center"/>
          </w:tcPr>
          <w:p w14:paraId="2F926110" w14:textId="77777777" w:rsidR="00C4467E" w:rsidRDefault="00C4467E">
            <w:pPr>
              <w:pStyle w:val="Normal1"/>
              <w:widowControl w:val="0"/>
              <w:spacing w:after="0" w:line="240" w:lineRule="auto"/>
            </w:pPr>
          </w:p>
        </w:tc>
        <w:tc>
          <w:tcPr>
            <w:tcW w:w="2365" w:type="dxa"/>
            <w:gridSpan w:val="2"/>
            <w:shd w:val="clear" w:color="auto" w:fill="FFFFFF"/>
            <w:vAlign w:val="center"/>
          </w:tcPr>
          <w:p w14:paraId="1DA266ED" w14:textId="77777777" w:rsidR="00C4467E" w:rsidRDefault="00C4467E">
            <w:pPr>
              <w:pStyle w:val="Normal1"/>
              <w:widowControl w:val="0"/>
              <w:spacing w:after="0" w:line="240" w:lineRule="auto"/>
            </w:pPr>
          </w:p>
        </w:tc>
      </w:tr>
      <w:tr w:rsidR="00747385" w14:paraId="028687F8" w14:textId="77777777" w:rsidTr="00747385">
        <w:trPr>
          <w:trHeight w:val="714"/>
        </w:trPr>
        <w:tc>
          <w:tcPr>
            <w:tcW w:w="5626" w:type="dxa"/>
            <w:gridSpan w:val="2"/>
          </w:tcPr>
          <w:p w14:paraId="30EE4823" w14:textId="77777777" w:rsidR="00C4467E" w:rsidRDefault="00C4467E">
            <w:pPr>
              <w:pStyle w:val="Normal1"/>
              <w:widowControl w:val="0"/>
              <w:spacing w:after="0" w:line="240" w:lineRule="auto"/>
            </w:pPr>
          </w:p>
        </w:tc>
        <w:tc>
          <w:tcPr>
            <w:tcW w:w="2449" w:type="dxa"/>
            <w:shd w:val="clear" w:color="auto" w:fill="FFFFFF"/>
            <w:vAlign w:val="center"/>
          </w:tcPr>
          <w:p w14:paraId="40522AE6" w14:textId="77777777" w:rsidR="00C4467E" w:rsidRDefault="00C4467E">
            <w:pPr>
              <w:pStyle w:val="Normal1"/>
              <w:widowControl w:val="0"/>
              <w:spacing w:after="0" w:line="240" w:lineRule="auto"/>
            </w:pPr>
          </w:p>
        </w:tc>
        <w:tc>
          <w:tcPr>
            <w:tcW w:w="2365" w:type="dxa"/>
            <w:gridSpan w:val="2"/>
            <w:shd w:val="clear" w:color="auto" w:fill="FFFFFF"/>
            <w:vAlign w:val="center"/>
          </w:tcPr>
          <w:p w14:paraId="2B449EA2" w14:textId="77777777" w:rsidR="00C4467E" w:rsidRDefault="00C4467E">
            <w:pPr>
              <w:pStyle w:val="Normal1"/>
              <w:widowControl w:val="0"/>
              <w:spacing w:after="0" w:line="240" w:lineRule="auto"/>
            </w:pPr>
          </w:p>
        </w:tc>
      </w:tr>
      <w:tr w:rsidR="00747385" w14:paraId="77A07A99" w14:textId="77777777" w:rsidTr="00747385">
        <w:trPr>
          <w:trHeight w:val="714"/>
        </w:trPr>
        <w:tc>
          <w:tcPr>
            <w:tcW w:w="5626" w:type="dxa"/>
            <w:gridSpan w:val="2"/>
          </w:tcPr>
          <w:p w14:paraId="68A102FD" w14:textId="77777777" w:rsidR="00C4467E" w:rsidRDefault="00C4467E">
            <w:pPr>
              <w:pStyle w:val="Normal1"/>
              <w:widowControl w:val="0"/>
              <w:spacing w:after="0" w:line="240" w:lineRule="auto"/>
            </w:pPr>
          </w:p>
        </w:tc>
        <w:tc>
          <w:tcPr>
            <w:tcW w:w="2449" w:type="dxa"/>
            <w:shd w:val="clear" w:color="auto" w:fill="FFFFFF"/>
            <w:vAlign w:val="center"/>
          </w:tcPr>
          <w:p w14:paraId="03FC8F96" w14:textId="77777777" w:rsidR="00C4467E" w:rsidRDefault="00C4467E">
            <w:pPr>
              <w:pStyle w:val="Normal1"/>
              <w:widowControl w:val="0"/>
              <w:spacing w:after="0" w:line="240" w:lineRule="auto"/>
            </w:pPr>
          </w:p>
        </w:tc>
        <w:tc>
          <w:tcPr>
            <w:tcW w:w="2365" w:type="dxa"/>
            <w:gridSpan w:val="2"/>
            <w:shd w:val="clear" w:color="auto" w:fill="FFFFFF"/>
            <w:vAlign w:val="center"/>
          </w:tcPr>
          <w:p w14:paraId="0B1D21A5" w14:textId="77777777" w:rsidR="00C4467E" w:rsidRDefault="00C4467E">
            <w:pPr>
              <w:pStyle w:val="Normal1"/>
              <w:widowControl w:val="0"/>
              <w:spacing w:after="0" w:line="240" w:lineRule="auto"/>
            </w:pPr>
          </w:p>
        </w:tc>
      </w:tr>
      <w:tr w:rsidR="00747385" w14:paraId="07A02244" w14:textId="77777777" w:rsidTr="00747385">
        <w:trPr>
          <w:trHeight w:val="665"/>
        </w:trPr>
        <w:tc>
          <w:tcPr>
            <w:tcW w:w="5626" w:type="dxa"/>
            <w:gridSpan w:val="2"/>
          </w:tcPr>
          <w:p w14:paraId="3997726B" w14:textId="77777777" w:rsidR="00C4467E" w:rsidRDefault="00C4467E" w:rsidP="008E4E77">
            <w:pPr>
              <w:pStyle w:val="Normal1"/>
              <w:widowControl w:val="0"/>
              <w:tabs>
                <w:tab w:val="left" w:pos="0"/>
                <w:tab w:val="left" w:pos="419"/>
              </w:tabs>
              <w:spacing w:after="0" w:line="240" w:lineRule="auto"/>
            </w:pPr>
          </w:p>
        </w:tc>
        <w:tc>
          <w:tcPr>
            <w:tcW w:w="2449" w:type="dxa"/>
            <w:shd w:val="clear" w:color="auto" w:fill="FFFFFF"/>
            <w:vAlign w:val="center"/>
          </w:tcPr>
          <w:p w14:paraId="020D533C" w14:textId="77777777" w:rsidR="00C4467E" w:rsidRDefault="00C4467E">
            <w:pPr>
              <w:pStyle w:val="Normal1"/>
              <w:widowControl w:val="0"/>
              <w:spacing w:after="0" w:line="240" w:lineRule="auto"/>
            </w:pPr>
          </w:p>
        </w:tc>
        <w:tc>
          <w:tcPr>
            <w:tcW w:w="2365" w:type="dxa"/>
            <w:gridSpan w:val="2"/>
            <w:shd w:val="clear" w:color="auto" w:fill="FFFFFF"/>
            <w:vAlign w:val="center"/>
          </w:tcPr>
          <w:p w14:paraId="543EC889" w14:textId="77777777" w:rsidR="00C4467E" w:rsidRDefault="00C4467E">
            <w:pPr>
              <w:pStyle w:val="Normal1"/>
              <w:widowControl w:val="0"/>
              <w:spacing w:after="0" w:line="240" w:lineRule="auto"/>
            </w:pPr>
          </w:p>
        </w:tc>
      </w:tr>
      <w:tr w:rsidR="00747385" w14:paraId="3AE75ACB" w14:textId="77777777" w:rsidTr="00747385">
        <w:trPr>
          <w:trHeight w:val="416"/>
        </w:trPr>
        <w:tc>
          <w:tcPr>
            <w:tcW w:w="250" w:type="dxa"/>
          </w:tcPr>
          <w:p w14:paraId="254F43CD" w14:textId="77777777" w:rsidR="007B32E3" w:rsidRPr="00CA2D4E" w:rsidRDefault="007B32E3">
            <w:pPr>
              <w:pStyle w:val="Normal1"/>
              <w:widowControl w:val="0"/>
              <w:spacing w:after="0"/>
              <w:rPr>
                <w:color w:val="FFFFFF" w:themeColor="background1"/>
              </w:rPr>
            </w:pPr>
          </w:p>
        </w:tc>
        <w:tc>
          <w:tcPr>
            <w:tcW w:w="10190" w:type="dxa"/>
            <w:gridSpan w:val="4"/>
            <w:shd w:val="clear" w:color="auto" w:fill="000E2F"/>
            <w:vAlign w:val="center"/>
          </w:tcPr>
          <w:p w14:paraId="6CE8D2AE" w14:textId="7A2FF0C9" w:rsidR="007B32E3" w:rsidRPr="00CA2D4E" w:rsidRDefault="00AC2282">
            <w:pPr>
              <w:pStyle w:val="Normal1"/>
              <w:widowControl w:val="0"/>
              <w:spacing w:after="0" w:line="240" w:lineRule="auto"/>
              <w:rPr>
                <w:b/>
                <w:color w:val="FFFFFF" w:themeColor="background1"/>
                <w:sz w:val="24"/>
                <w:szCs w:val="24"/>
              </w:rPr>
            </w:pPr>
            <w:r w:rsidRPr="00CA2D4E">
              <w:rPr>
                <w:b/>
                <w:color w:val="FFFFFF" w:themeColor="background1"/>
                <w:sz w:val="24"/>
                <w:szCs w:val="24"/>
              </w:rPr>
              <w:t>SECTION 12B.    PRINCIPAL INVESTIGATOR CERTIFICATION</w:t>
            </w:r>
          </w:p>
        </w:tc>
      </w:tr>
      <w:tr w:rsidR="00747385" w14:paraId="15E9ACEE" w14:textId="77777777" w:rsidTr="00747385">
        <w:trPr>
          <w:trHeight w:val="416"/>
        </w:trPr>
        <w:tc>
          <w:tcPr>
            <w:tcW w:w="10440" w:type="dxa"/>
            <w:gridSpan w:val="5"/>
            <w:shd w:val="clear" w:color="auto" w:fill="FFFFFF"/>
            <w:vAlign w:val="center"/>
          </w:tcPr>
          <w:p w14:paraId="5892E1B4" w14:textId="77777777" w:rsidR="007B32E3" w:rsidRDefault="00AC2282">
            <w:pPr>
              <w:pStyle w:val="Normal1"/>
              <w:widowControl w:val="0"/>
              <w:spacing w:before="40" w:after="40" w:line="240" w:lineRule="auto"/>
            </w:pPr>
            <w:r>
              <w:t>I approve the contents of the lab-specific standard operating procedure listed above.</w:t>
            </w:r>
          </w:p>
        </w:tc>
      </w:tr>
      <w:tr w:rsidR="00747385" w14:paraId="50382269" w14:textId="77777777" w:rsidTr="00747385">
        <w:trPr>
          <w:trHeight w:val="813"/>
        </w:trPr>
        <w:tc>
          <w:tcPr>
            <w:tcW w:w="8087" w:type="dxa"/>
            <w:gridSpan w:val="4"/>
            <w:shd w:val="clear" w:color="auto" w:fill="FFFFFF"/>
          </w:tcPr>
          <w:p w14:paraId="409BE793" w14:textId="77777777" w:rsidR="007B32E3" w:rsidRDefault="00AC2282">
            <w:pPr>
              <w:pStyle w:val="Normal1"/>
              <w:widowControl w:val="0"/>
              <w:spacing w:before="120" w:after="0" w:line="240" w:lineRule="auto"/>
              <w:rPr>
                <w:b/>
              </w:rPr>
            </w:pPr>
            <w:r>
              <w:rPr>
                <w:b/>
              </w:rPr>
              <w:t>PI Signature:</w:t>
            </w:r>
          </w:p>
        </w:tc>
        <w:tc>
          <w:tcPr>
            <w:tcW w:w="2353" w:type="dxa"/>
            <w:shd w:val="clear" w:color="auto" w:fill="FFFFFF"/>
          </w:tcPr>
          <w:p w14:paraId="380FC653" w14:textId="77777777" w:rsidR="007B32E3" w:rsidRDefault="00AC2282">
            <w:pPr>
              <w:pStyle w:val="Normal1"/>
              <w:widowControl w:val="0"/>
              <w:spacing w:before="120" w:after="0" w:line="240" w:lineRule="auto"/>
              <w:rPr>
                <w:b/>
              </w:rPr>
            </w:pPr>
            <w:r>
              <w:rPr>
                <w:b/>
              </w:rPr>
              <w:t>Date:</w:t>
            </w:r>
          </w:p>
        </w:tc>
      </w:tr>
      <w:tr w:rsidR="00747385" w14:paraId="0099E8CC" w14:textId="77777777" w:rsidTr="00747385">
        <w:trPr>
          <w:trHeight w:val="416"/>
        </w:trPr>
        <w:tc>
          <w:tcPr>
            <w:tcW w:w="10440" w:type="dxa"/>
            <w:gridSpan w:val="5"/>
            <w:shd w:val="clear" w:color="auto" w:fill="000E2F"/>
            <w:vAlign w:val="center"/>
          </w:tcPr>
          <w:p w14:paraId="148D0232" w14:textId="77777777" w:rsidR="007B32E3" w:rsidRDefault="00AC2282" w:rsidP="008001DE">
            <w:pPr>
              <w:pStyle w:val="Normal1"/>
              <w:widowControl w:val="0"/>
              <w:spacing w:after="0" w:line="240" w:lineRule="auto"/>
              <w:ind w:left="-121"/>
              <w:jc w:val="center"/>
              <w:rPr>
                <w:b/>
                <w:sz w:val="24"/>
                <w:szCs w:val="24"/>
              </w:rPr>
            </w:pPr>
            <w:r>
              <w:rPr>
                <w:b/>
                <w:sz w:val="24"/>
                <w:szCs w:val="24"/>
              </w:rPr>
              <w:t>A HARD OR ELECTRONIC COPY (https://bruckner.research.uconn.edu/safety-resources/) OF EACH LAB-SPECIFIC STANDARD OPERATING PROCEDURE MUST BE READILY AVAILBALE IN THE LAB.</w:t>
            </w:r>
          </w:p>
        </w:tc>
      </w:tr>
    </w:tbl>
    <w:p w14:paraId="2B84892A" w14:textId="77777777" w:rsidR="007B32E3" w:rsidRDefault="007B32E3">
      <w:pPr>
        <w:pStyle w:val="Heading1"/>
        <w:keepNext w:val="0"/>
        <w:keepLines w:val="0"/>
        <w:rPr>
          <w:sz w:val="22"/>
          <w:szCs w:val="22"/>
        </w:rPr>
      </w:pPr>
    </w:p>
    <w:sectPr w:rsidR="007B32E3">
      <w:headerReference w:type="even" r:id="rId14"/>
      <w:headerReference w:type="default" r:id="rId15"/>
      <w:footerReference w:type="even" r:id="rId16"/>
      <w:footerReference w:type="default" r:id="rId17"/>
      <w:headerReference w:type="first" r:id="rId18"/>
      <w:footerReference w:type="first" r:id="rId19"/>
      <w:pgSz w:w="12240" w:h="15840"/>
      <w:pgMar w:top="1071" w:right="1440" w:bottom="1035" w:left="1440" w:header="288" w:footer="49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C73F2" w14:textId="77777777" w:rsidR="00694AFA" w:rsidRDefault="00694AFA">
      <w:pPr>
        <w:spacing w:after="0" w:line="240" w:lineRule="auto"/>
      </w:pPr>
      <w:r>
        <w:separator/>
      </w:r>
    </w:p>
  </w:endnote>
  <w:endnote w:type="continuationSeparator" w:id="0">
    <w:p w14:paraId="795C93AE" w14:textId="77777777" w:rsidR="00694AFA" w:rsidRDefault="00694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oefler Text">
    <w:panose1 w:val="02030602050506020203"/>
    <w:charset w:val="4D"/>
    <w:family w:val="roman"/>
    <w:pitch w:val="variable"/>
    <w:sig w:usb0="800002FF" w:usb1="5000204B" w:usb2="00000004" w:usb3="00000000" w:csb0="00000197"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2A87" w:usb1="80000000" w:usb2="00000008" w:usb3="00000000" w:csb0="000001FF" w:csb1="00000000"/>
  </w:font>
  <w:font w:name="Aparajita">
    <w:altName w:val="Devanagari Sangam MN"/>
    <w:panose1 w:val="020B0604020202020204"/>
    <w:charset w:val="00"/>
    <w:family w:val="swiss"/>
    <w:pitch w:val="variable"/>
    <w:sig w:usb0="00008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79469" w14:textId="77777777" w:rsidR="00C11DB1" w:rsidRDefault="00C11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E08F4" w14:textId="77777777" w:rsidR="00AC1FE9" w:rsidRPr="00C11DB1" w:rsidRDefault="00AC1FE9">
    <w:pPr>
      <w:pStyle w:val="Normal1"/>
      <w:tabs>
        <w:tab w:val="center" w:pos="4680"/>
        <w:tab w:val="right" w:pos="9360"/>
      </w:tabs>
      <w:spacing w:after="0" w:line="240" w:lineRule="auto"/>
      <w:jc w:val="right"/>
    </w:pPr>
    <w:bookmarkStart w:id="1" w:name="_GoBack"/>
    <w:bookmarkEnd w:id="1"/>
    <w:r w:rsidRPr="00C11DB1">
      <w:rPr>
        <w:sz w:val="20"/>
        <w:szCs w:val="20"/>
      </w:rPr>
      <w:t xml:space="preserve">Page </w:t>
    </w:r>
    <w:r w:rsidRPr="00C11DB1">
      <w:rPr>
        <w:sz w:val="20"/>
        <w:szCs w:val="20"/>
      </w:rPr>
      <w:fldChar w:fldCharType="begin"/>
    </w:r>
    <w:r w:rsidRPr="00C11DB1">
      <w:rPr>
        <w:sz w:val="20"/>
        <w:szCs w:val="20"/>
      </w:rPr>
      <w:instrText>PAGE</w:instrText>
    </w:r>
    <w:r w:rsidRPr="00C11DB1">
      <w:rPr>
        <w:sz w:val="20"/>
        <w:szCs w:val="20"/>
      </w:rPr>
      <w:fldChar w:fldCharType="separate"/>
    </w:r>
    <w:r w:rsidR="00BB35A5" w:rsidRPr="00C11DB1">
      <w:rPr>
        <w:noProof/>
        <w:sz w:val="20"/>
        <w:szCs w:val="20"/>
      </w:rPr>
      <w:t>2</w:t>
    </w:r>
    <w:r w:rsidRPr="00C11DB1">
      <w:rPr>
        <w:sz w:val="20"/>
        <w:szCs w:val="20"/>
      </w:rPr>
      <w:fldChar w:fldCharType="end"/>
    </w:r>
    <w:r w:rsidRPr="00C11DB1">
      <w:rPr>
        <w:sz w:val="20"/>
        <w:szCs w:val="20"/>
      </w:rPr>
      <w:t xml:space="preserve"> of </w:t>
    </w:r>
    <w:r w:rsidRPr="00C11DB1">
      <w:rPr>
        <w:sz w:val="20"/>
        <w:szCs w:val="20"/>
      </w:rPr>
      <w:fldChar w:fldCharType="begin"/>
    </w:r>
    <w:r w:rsidRPr="00C11DB1">
      <w:rPr>
        <w:sz w:val="20"/>
        <w:szCs w:val="20"/>
      </w:rPr>
      <w:instrText>NUMPAGES</w:instrText>
    </w:r>
    <w:r w:rsidRPr="00C11DB1">
      <w:rPr>
        <w:sz w:val="20"/>
        <w:szCs w:val="20"/>
      </w:rPr>
      <w:fldChar w:fldCharType="separate"/>
    </w:r>
    <w:r w:rsidR="00BB35A5" w:rsidRPr="00C11DB1">
      <w:rPr>
        <w:noProof/>
        <w:sz w:val="20"/>
        <w:szCs w:val="20"/>
      </w:rPr>
      <w:t>5</w:t>
    </w:r>
    <w:r w:rsidRPr="00C11DB1">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28636285"/>
      <w:docPartObj>
        <w:docPartGallery w:val="Page Numbers (Top of Page)"/>
        <w:docPartUnique/>
      </w:docPartObj>
    </w:sdtPr>
    <w:sdtEndPr>
      <w:rPr>
        <w:sz w:val="22"/>
        <w:szCs w:val="22"/>
      </w:rPr>
    </w:sdtEndPr>
    <w:sdtContent>
      <w:sdt>
        <w:sdtPr>
          <w:rPr>
            <w:sz w:val="20"/>
            <w:szCs w:val="20"/>
          </w:rPr>
          <w:id w:val="-114758117"/>
          <w:docPartObj>
            <w:docPartGallery w:val="Page Numbers (Top of Page)"/>
            <w:docPartUnique/>
          </w:docPartObj>
        </w:sdtPr>
        <w:sdtEndPr/>
        <w:sdtContent>
          <w:p w14:paraId="3860A056" w14:textId="77777777" w:rsidR="00AC1FE9" w:rsidRPr="00AC2282" w:rsidRDefault="00AC1FE9" w:rsidP="00AC2282">
            <w:pPr>
              <w:pStyle w:val="Footer"/>
              <w:rPr>
                <w:sz w:val="20"/>
                <w:szCs w:val="20"/>
              </w:rPr>
            </w:pPr>
            <w:r w:rsidRPr="009E38AC">
              <w:rPr>
                <w:i/>
                <w:sz w:val="20"/>
                <w:szCs w:val="20"/>
              </w:rPr>
              <w:t>CB-LSOP-Template-Nov 2017</w:t>
            </w:r>
            <w:r w:rsidRPr="009E38AC">
              <w:rPr>
                <w:i/>
                <w:sz w:val="20"/>
                <w:szCs w:val="20"/>
              </w:rPr>
              <w:tab/>
            </w:r>
            <w:r w:rsidRPr="009E38AC">
              <w:rPr>
                <w:i/>
                <w:sz w:val="20"/>
                <w:szCs w:val="20"/>
              </w:rPr>
              <w:tab/>
            </w:r>
            <w:sdt>
              <w:sdtPr>
                <w:rPr>
                  <w:sz w:val="20"/>
                  <w:szCs w:val="20"/>
                </w:rPr>
                <w:id w:val="-1769616900"/>
                <w:docPartObj>
                  <w:docPartGallery w:val="Page Numbers (Top of Page)"/>
                  <w:docPartUnique/>
                </w:docPartObj>
              </w:sdtPr>
              <w:sdtEndPr/>
              <w:sdtContent>
                <w:r w:rsidRPr="009E38AC">
                  <w:rPr>
                    <w:sz w:val="20"/>
                    <w:szCs w:val="20"/>
                  </w:rPr>
                  <w:t xml:space="preserve">                                                                                   Page </w:t>
                </w:r>
                <w:r w:rsidRPr="009E38AC">
                  <w:rPr>
                    <w:bCs/>
                    <w:sz w:val="20"/>
                    <w:szCs w:val="20"/>
                  </w:rPr>
                  <w:fldChar w:fldCharType="begin"/>
                </w:r>
                <w:r w:rsidRPr="009E38AC">
                  <w:rPr>
                    <w:bCs/>
                    <w:sz w:val="20"/>
                    <w:szCs w:val="20"/>
                  </w:rPr>
                  <w:instrText xml:space="preserve"> PAGE </w:instrText>
                </w:r>
                <w:r w:rsidRPr="009E38AC">
                  <w:rPr>
                    <w:bCs/>
                    <w:sz w:val="20"/>
                    <w:szCs w:val="20"/>
                  </w:rPr>
                  <w:fldChar w:fldCharType="separate"/>
                </w:r>
                <w:r w:rsidR="00BB35A5">
                  <w:rPr>
                    <w:bCs/>
                    <w:noProof/>
                    <w:sz w:val="20"/>
                    <w:szCs w:val="20"/>
                  </w:rPr>
                  <w:t>1</w:t>
                </w:r>
                <w:r w:rsidRPr="009E38AC">
                  <w:rPr>
                    <w:bCs/>
                    <w:sz w:val="20"/>
                    <w:szCs w:val="20"/>
                  </w:rPr>
                  <w:fldChar w:fldCharType="end"/>
                </w:r>
                <w:r w:rsidRPr="009E38AC">
                  <w:rPr>
                    <w:sz w:val="20"/>
                    <w:szCs w:val="20"/>
                  </w:rPr>
                  <w:t xml:space="preserve"> of </w:t>
                </w:r>
                <w:r w:rsidRPr="009E38AC">
                  <w:rPr>
                    <w:bCs/>
                    <w:sz w:val="20"/>
                    <w:szCs w:val="20"/>
                  </w:rPr>
                  <w:fldChar w:fldCharType="begin"/>
                </w:r>
                <w:r w:rsidRPr="009E38AC">
                  <w:rPr>
                    <w:bCs/>
                    <w:sz w:val="20"/>
                    <w:szCs w:val="20"/>
                  </w:rPr>
                  <w:instrText xml:space="preserve"> NUMPAGES  </w:instrText>
                </w:r>
                <w:r w:rsidRPr="009E38AC">
                  <w:rPr>
                    <w:bCs/>
                    <w:sz w:val="20"/>
                    <w:szCs w:val="20"/>
                  </w:rPr>
                  <w:fldChar w:fldCharType="separate"/>
                </w:r>
                <w:r w:rsidR="00BB35A5">
                  <w:rPr>
                    <w:bCs/>
                    <w:noProof/>
                    <w:sz w:val="20"/>
                    <w:szCs w:val="20"/>
                  </w:rPr>
                  <w:t>5</w:t>
                </w:r>
                <w:r w:rsidRPr="009E38AC">
                  <w:rPr>
                    <w:bCs/>
                    <w:sz w:val="20"/>
                    <w:szCs w:val="20"/>
                  </w:rPr>
                  <w:fldChar w:fldCharType="end"/>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35B5B" w14:textId="77777777" w:rsidR="00694AFA" w:rsidRDefault="00694AFA">
      <w:pPr>
        <w:spacing w:after="0" w:line="240" w:lineRule="auto"/>
      </w:pPr>
      <w:r>
        <w:separator/>
      </w:r>
    </w:p>
  </w:footnote>
  <w:footnote w:type="continuationSeparator" w:id="0">
    <w:p w14:paraId="670A2777" w14:textId="77777777" w:rsidR="00694AFA" w:rsidRDefault="00694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A3784" w14:textId="77777777" w:rsidR="00C11DB1" w:rsidRDefault="00C11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82AE1" w14:textId="77777777" w:rsidR="00AC1FE9" w:rsidRDefault="00AC1FE9">
    <w:pPr>
      <w:pStyle w:val="Normal1"/>
      <w:tabs>
        <w:tab w:val="right" w:pos="10170"/>
      </w:tabs>
      <w:spacing w:after="0" w:line="240" w:lineRule="auto"/>
      <w:rPr>
        <w:color w:val="A6A6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73704" w14:textId="296672C9" w:rsidR="00AC1FE9" w:rsidRPr="00C11DB1" w:rsidRDefault="00AC1FE9" w:rsidP="00C11DB1">
    <w:pPr>
      <w:pStyle w:val="Normal1"/>
      <w:tabs>
        <w:tab w:val="center" w:pos="4680"/>
        <w:tab w:val="right" w:pos="9360"/>
      </w:tabs>
      <w:spacing w:after="0" w:line="240" w:lineRule="auto"/>
      <w:ind w:left="-576"/>
    </w:pPr>
    <w:r>
      <w:rPr>
        <w:noProof/>
      </w:rPr>
      <w:drawing>
        <wp:inline distT="0" distB="0" distL="0" distR="0" wp14:anchorId="02A22CB5" wp14:editId="2299BC46">
          <wp:extent cx="1311910" cy="38989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11910" cy="389890"/>
                  </a:xfrm>
                  <a:prstGeom prst="rect">
                    <a:avLst/>
                  </a:prstGeom>
                  <a:ln/>
                </pic:spPr>
              </pic:pic>
            </a:graphicData>
          </a:graphic>
        </wp:inline>
      </w:drawing>
    </w:r>
    <w:r>
      <w:tab/>
    </w:r>
    <w:r>
      <w:tab/>
      <w:t xml:space="preserve">           </w:t>
    </w:r>
    <w:r>
      <w:rPr>
        <w:noProof/>
      </w:rPr>
      <mc:AlternateContent>
        <mc:Choice Requires="wps">
          <w:drawing>
            <wp:anchor distT="0" distB="0" distL="114300" distR="114300" simplePos="0" relativeHeight="251658240" behindDoc="0" locked="0" layoutInCell="1" hidden="0" allowOverlap="1" wp14:anchorId="7ED89CD3" wp14:editId="570541DD">
              <wp:simplePos x="0" y="0"/>
              <wp:positionH relativeFrom="margin">
                <wp:posOffset>2882900</wp:posOffset>
              </wp:positionH>
              <wp:positionV relativeFrom="paragraph">
                <wp:posOffset>-63499</wp:posOffset>
              </wp:positionV>
              <wp:extent cx="3441700" cy="850900"/>
              <wp:effectExtent l="0" t="0" r="0" b="0"/>
              <wp:wrapNone/>
              <wp:docPr id="2" name="Rectangle 2"/>
              <wp:cNvGraphicFramePr/>
              <a:graphic xmlns:a="http://schemas.openxmlformats.org/drawingml/2006/main">
                <a:graphicData uri="http://schemas.microsoft.com/office/word/2010/wordprocessingShape">
                  <wps:wsp>
                    <wps:cNvSpPr/>
                    <wps:spPr>
                      <a:xfrm>
                        <a:off x="3626738" y="3355503"/>
                        <a:ext cx="3438525" cy="848995"/>
                      </a:xfrm>
                      <a:prstGeom prst="rect">
                        <a:avLst/>
                      </a:prstGeom>
                      <a:solidFill>
                        <a:srgbClr val="FFFFFF"/>
                      </a:solidFill>
                      <a:ln>
                        <a:noFill/>
                      </a:ln>
                    </wps:spPr>
                    <wps:txbx>
                      <w:txbxContent>
                        <w:p w14:paraId="3F536FA0" w14:textId="77777777" w:rsidR="00AC1FE9" w:rsidRDefault="00AC1FE9">
                          <w:pPr>
                            <w:pStyle w:val="Normal1"/>
                            <w:spacing w:after="0" w:line="240" w:lineRule="auto"/>
                            <w:jc w:val="right"/>
                            <w:textDirection w:val="btLr"/>
                          </w:pPr>
                          <w:r>
                            <w:rPr>
                              <w:rFonts w:ascii="Cambria" w:eastAsia="Cambria" w:hAnsi="Cambria" w:cs="Cambria"/>
                              <w:color w:val="808080"/>
                              <w:sz w:val="32"/>
                            </w:rPr>
                            <w:t xml:space="preserve">Policies, Programs </w:t>
                          </w:r>
                        </w:p>
                        <w:p w14:paraId="7EEE2690" w14:textId="77777777" w:rsidR="00AC1FE9" w:rsidRDefault="00AC1FE9">
                          <w:pPr>
                            <w:pStyle w:val="Normal1"/>
                            <w:spacing w:after="0" w:line="240" w:lineRule="auto"/>
                            <w:jc w:val="right"/>
                            <w:textDirection w:val="btLr"/>
                          </w:pPr>
                          <w:r>
                            <w:rPr>
                              <w:rFonts w:ascii="Cambria" w:eastAsia="Cambria" w:hAnsi="Cambria" w:cs="Cambria"/>
                              <w:color w:val="808080"/>
                              <w:sz w:val="32"/>
                            </w:rPr>
                            <w:t>and Procedures</w:t>
                          </w:r>
                        </w:p>
                      </w:txbxContent>
                    </wps:txbx>
                    <wps:bodyPr wrap="square" lIns="91425" tIns="45700" rIns="91425" bIns="45700" anchor="t" anchorCtr="0"/>
                  </wps:wsp>
                </a:graphicData>
              </a:graphic>
            </wp:anchor>
          </w:drawing>
        </mc:Choice>
        <mc:Fallback>
          <w:pict>
            <v:rect w14:anchorId="7ED89CD3" id="Rectangle 2" o:spid="_x0000_s1026" style="position:absolute;left:0;text-align:left;margin-left:227pt;margin-top:-5pt;width:271pt;height:67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" stroked="f">
              <v:textbox inset="2.53958mm,1.2694mm,2.53958mm,1.2694mm">
                <w:txbxContent>
                  <w:p w14:paraId="3F536FA0" w14:textId="77777777" w:rsidR="00AC1FE9" w:rsidRDefault="00AC1FE9">
                    <w:pPr>
                      <w:pStyle w:val="Normal1"/>
                      <w:spacing w:after="0" w:line="240" w:lineRule="auto"/>
                      <w:jc w:val="right"/>
                      <w:textDirection w:val="btLr"/>
                    </w:pPr>
                    <w:r>
                      <w:rPr>
                        <w:rFonts w:ascii="Cambria" w:eastAsia="Cambria" w:hAnsi="Cambria" w:cs="Cambria"/>
                        <w:color w:val="808080"/>
                        <w:sz w:val="32"/>
                      </w:rPr>
                      <w:t xml:space="preserve">Policies, Programs </w:t>
                    </w:r>
                  </w:p>
                  <w:p w14:paraId="7EEE2690" w14:textId="77777777" w:rsidR="00AC1FE9" w:rsidRDefault="00AC1FE9">
                    <w:pPr>
                      <w:pStyle w:val="Normal1"/>
                      <w:spacing w:after="0" w:line="240" w:lineRule="auto"/>
                      <w:jc w:val="right"/>
                      <w:textDirection w:val="btLr"/>
                    </w:pPr>
                    <w:r>
                      <w:rPr>
                        <w:rFonts w:ascii="Cambria" w:eastAsia="Cambria" w:hAnsi="Cambria" w:cs="Cambria"/>
                        <w:color w:val="808080"/>
                        <w:sz w:val="32"/>
                      </w:rPr>
                      <w:t>and Procedures</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4EC"/>
    <w:multiLevelType w:val="hybridMultilevel"/>
    <w:tmpl w:val="0544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A5510"/>
    <w:multiLevelType w:val="multilevel"/>
    <w:tmpl w:val="0A829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8C7386"/>
    <w:multiLevelType w:val="multilevel"/>
    <w:tmpl w:val="5086B17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BF2AE0"/>
    <w:multiLevelType w:val="multilevel"/>
    <w:tmpl w:val="0F7AFF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C57B5B"/>
    <w:multiLevelType w:val="hybridMultilevel"/>
    <w:tmpl w:val="463E065A"/>
    <w:lvl w:ilvl="0" w:tplc="5F92CED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02693"/>
    <w:multiLevelType w:val="multilevel"/>
    <w:tmpl w:val="FABEE5B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6A73FF"/>
    <w:multiLevelType w:val="hybridMultilevel"/>
    <w:tmpl w:val="9DF8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45EFC"/>
    <w:multiLevelType w:val="multilevel"/>
    <w:tmpl w:val="4E8CCD06"/>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C5E433D"/>
    <w:multiLevelType w:val="hybridMultilevel"/>
    <w:tmpl w:val="6B6A61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CB1E86"/>
    <w:multiLevelType w:val="hybridMultilevel"/>
    <w:tmpl w:val="7262BE3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D9743E3"/>
    <w:multiLevelType w:val="hybridMultilevel"/>
    <w:tmpl w:val="4B6003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0747C4"/>
    <w:multiLevelType w:val="hybridMultilevel"/>
    <w:tmpl w:val="4E44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10D05"/>
    <w:multiLevelType w:val="multilevel"/>
    <w:tmpl w:val="5D8EA63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AD11C58"/>
    <w:multiLevelType w:val="hybridMultilevel"/>
    <w:tmpl w:val="5EDCB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4612F"/>
    <w:multiLevelType w:val="multilevel"/>
    <w:tmpl w:val="3AFC243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2853195"/>
    <w:multiLevelType w:val="multilevel"/>
    <w:tmpl w:val="C79ADE4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B176A1B"/>
    <w:multiLevelType w:val="hybridMultilevel"/>
    <w:tmpl w:val="CFB6F9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BFE206C"/>
    <w:multiLevelType w:val="multilevel"/>
    <w:tmpl w:val="253E172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CDB23C9"/>
    <w:multiLevelType w:val="hybridMultilevel"/>
    <w:tmpl w:val="0452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DC205B"/>
    <w:multiLevelType w:val="multilevel"/>
    <w:tmpl w:val="18107B0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1166C6D"/>
    <w:multiLevelType w:val="multilevel"/>
    <w:tmpl w:val="E5DA7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838163B"/>
    <w:multiLevelType w:val="multilevel"/>
    <w:tmpl w:val="0BB6A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B7D0E76"/>
    <w:multiLevelType w:val="multilevel"/>
    <w:tmpl w:val="11B823E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CBF5731"/>
    <w:multiLevelType w:val="multilevel"/>
    <w:tmpl w:val="7A1A9AF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37A0FD0"/>
    <w:multiLevelType w:val="hybridMultilevel"/>
    <w:tmpl w:val="88FC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2947D1"/>
    <w:multiLevelType w:val="hybridMultilevel"/>
    <w:tmpl w:val="C630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694985"/>
    <w:multiLevelType w:val="hybridMultilevel"/>
    <w:tmpl w:val="75C468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DC8554F"/>
    <w:multiLevelType w:val="hybridMultilevel"/>
    <w:tmpl w:val="1DF81B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E295F72"/>
    <w:multiLevelType w:val="multilevel"/>
    <w:tmpl w:val="BE2894E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1F80CAD"/>
    <w:multiLevelType w:val="multilevel"/>
    <w:tmpl w:val="FFA8993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5AA4DA7"/>
    <w:multiLevelType w:val="hybridMultilevel"/>
    <w:tmpl w:val="82FA2D1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4"/>
  </w:num>
  <w:num w:numId="4">
    <w:abstractNumId w:val="21"/>
  </w:num>
  <w:num w:numId="5">
    <w:abstractNumId w:val="2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8"/>
  </w:num>
  <w:num w:numId="9">
    <w:abstractNumId w:val="0"/>
  </w:num>
  <w:num w:numId="10">
    <w:abstractNumId w:val="4"/>
  </w:num>
  <w:num w:numId="11">
    <w:abstractNumId w:val="26"/>
  </w:num>
  <w:num w:numId="12">
    <w:abstractNumId w:val="8"/>
  </w:num>
  <w:num w:numId="13">
    <w:abstractNumId w:val="10"/>
  </w:num>
  <w:num w:numId="14">
    <w:abstractNumId w:val="16"/>
  </w:num>
  <w:num w:numId="15">
    <w:abstractNumId w:val="9"/>
  </w:num>
  <w:num w:numId="16">
    <w:abstractNumId w:val="25"/>
  </w:num>
  <w:num w:numId="17">
    <w:abstractNumId w:val="30"/>
  </w:num>
  <w:num w:numId="18">
    <w:abstractNumId w:val="6"/>
  </w:num>
  <w:num w:numId="19">
    <w:abstractNumId w:val="17"/>
  </w:num>
  <w:num w:numId="20">
    <w:abstractNumId w:val="22"/>
  </w:num>
  <w:num w:numId="21">
    <w:abstractNumId w:val="15"/>
  </w:num>
  <w:num w:numId="22">
    <w:abstractNumId w:val="27"/>
  </w:num>
  <w:num w:numId="23">
    <w:abstractNumId w:val="13"/>
  </w:num>
  <w:num w:numId="24">
    <w:abstractNumId w:val="5"/>
  </w:num>
  <w:num w:numId="25">
    <w:abstractNumId w:val="29"/>
  </w:num>
  <w:num w:numId="26">
    <w:abstractNumId w:val="19"/>
  </w:num>
  <w:num w:numId="27">
    <w:abstractNumId w:val="28"/>
  </w:num>
  <w:num w:numId="28">
    <w:abstractNumId w:val="12"/>
  </w:num>
  <w:num w:numId="29">
    <w:abstractNumId w:val="3"/>
  </w:num>
  <w:num w:numId="30">
    <w:abstractNumId w:val="23"/>
  </w:num>
  <w:num w:numId="31">
    <w:abstractNumId w:val="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B32E3"/>
    <w:rsid w:val="00134B90"/>
    <w:rsid w:val="00184540"/>
    <w:rsid w:val="00240BA4"/>
    <w:rsid w:val="00327ECB"/>
    <w:rsid w:val="00385637"/>
    <w:rsid w:val="003F6C21"/>
    <w:rsid w:val="00416441"/>
    <w:rsid w:val="0046113F"/>
    <w:rsid w:val="00547A18"/>
    <w:rsid w:val="00694AFA"/>
    <w:rsid w:val="00747385"/>
    <w:rsid w:val="00776D26"/>
    <w:rsid w:val="007B32E3"/>
    <w:rsid w:val="007F7A9D"/>
    <w:rsid w:val="008001DE"/>
    <w:rsid w:val="00887462"/>
    <w:rsid w:val="008E4E77"/>
    <w:rsid w:val="00913D91"/>
    <w:rsid w:val="00AC1FE9"/>
    <w:rsid w:val="00AC2282"/>
    <w:rsid w:val="00BB35A5"/>
    <w:rsid w:val="00C11DB1"/>
    <w:rsid w:val="00C4467E"/>
    <w:rsid w:val="00CA2D4E"/>
    <w:rsid w:val="6647E6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CDCC5D"/>
  <w15:docId w15:val="{1E5A3A70-70DC-DB47-9B1D-3A8CB1526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240" w:after="0"/>
      <w:outlineLvl w:val="0"/>
    </w:pPr>
    <w:rPr>
      <w:color w:val="2E75B5"/>
      <w:sz w:val="32"/>
      <w:szCs w:val="32"/>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C228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2282"/>
    <w:rPr>
      <w:rFonts w:ascii="Lucida Grande" w:hAnsi="Lucida Grande" w:cs="Lucida Grande"/>
      <w:sz w:val="18"/>
      <w:szCs w:val="18"/>
    </w:rPr>
  </w:style>
  <w:style w:type="paragraph" w:styleId="Header">
    <w:name w:val="header"/>
    <w:basedOn w:val="Normal"/>
    <w:link w:val="HeaderChar"/>
    <w:uiPriority w:val="99"/>
    <w:unhideWhenUsed/>
    <w:rsid w:val="00AC22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AC2282"/>
  </w:style>
  <w:style w:type="paragraph" w:styleId="Footer">
    <w:name w:val="footer"/>
    <w:basedOn w:val="Normal"/>
    <w:link w:val="FooterChar"/>
    <w:uiPriority w:val="99"/>
    <w:unhideWhenUsed/>
    <w:rsid w:val="00AC22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AC2282"/>
  </w:style>
  <w:style w:type="paragraph" w:customStyle="1" w:styleId="Default">
    <w:name w:val="Default"/>
    <w:rsid w:val="00AC228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Hoefler Text" w:eastAsiaTheme="minorHAnsi" w:hAnsi="Hoefler Text" w:cs="Hoefler Text"/>
      <w:sz w:val="24"/>
      <w:szCs w:val="24"/>
    </w:rPr>
  </w:style>
  <w:style w:type="character" w:styleId="Hyperlink">
    <w:name w:val="Hyperlink"/>
    <w:basedOn w:val="DefaultParagraphFont"/>
    <w:uiPriority w:val="99"/>
    <w:unhideWhenUsed/>
    <w:rsid w:val="00AC2282"/>
    <w:rPr>
      <w:color w:val="0000FF" w:themeColor="hyperlink"/>
      <w:u w:val="single"/>
    </w:rPr>
  </w:style>
  <w:style w:type="paragraph" w:styleId="ListParagraph">
    <w:name w:val="List Paragraph"/>
    <w:basedOn w:val="Normal"/>
    <w:uiPriority w:val="34"/>
    <w:qFormat/>
    <w:rsid w:val="00AC2282"/>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sds.com" TargetMode="External"/><Relationship Id="rId13" Type="http://schemas.openxmlformats.org/officeDocument/2006/relationships/hyperlink" Target="http://policy.uconn.edu/2011/05/17/employee-code-of-conduc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hs.uconn.edu/Chemical/?p=training" TargetMode="External"/><Relationship Id="rId12" Type="http://schemas.openxmlformats.org/officeDocument/2006/relationships/hyperlink" Target="http://policy.uconn.edu/2011/05/19/health-and-safety-policy/"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hs.uconn.edu/Chemical/ChemWasteDisp.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ehs.uconn.edu/Regulated%20Waste%20Management/index.php"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policy.uconn.edu/2012/07/30/working-alone-policy/"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 Brückner</cp:lastModifiedBy>
  <cp:revision>12</cp:revision>
  <dcterms:created xsi:type="dcterms:W3CDTF">2017-11-26T05:47:00Z</dcterms:created>
  <dcterms:modified xsi:type="dcterms:W3CDTF">2018-04-18T00:08:00Z</dcterms:modified>
</cp:coreProperties>
</file>